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6212" w14:textId="3FF7E958" w:rsidR="00C8712E" w:rsidRPr="00E405C4" w:rsidRDefault="00C8712E" w:rsidP="000752BE">
      <w:pPr>
        <w:suppressAutoHyphens/>
        <w:jc w:val="center"/>
        <w:rPr>
          <w:rFonts w:cs="Baskerville"/>
          <w:szCs w:val="28"/>
          <w14:ligatures w14:val="standardContextual"/>
        </w:rPr>
      </w:pPr>
      <w:bookmarkStart w:id="0" w:name="_Toc3552000"/>
      <w:bookmarkStart w:id="1" w:name="_Toc3552279"/>
      <w:bookmarkStart w:id="2" w:name="_Toc283398568"/>
      <w:r w:rsidRPr="00E405C4">
        <w:rPr>
          <w:rFonts w:cs="Baskerville"/>
          <w:szCs w:val="28"/>
          <w14:ligatures w14:val="standardContextual"/>
        </w:rPr>
        <w:t xml:space="preserve">No. </w:t>
      </w:r>
      <w:r w:rsidR="00FF0998" w:rsidRPr="00E405C4">
        <w:rPr>
          <w:rFonts w:cs="Baskerville"/>
          <w:szCs w:val="28"/>
          <w14:ligatures w14:val="standardContextual"/>
        </w:rPr>
        <w:t>83287-5-</w:t>
      </w:r>
      <w:r w:rsidR="0043224D" w:rsidRPr="00E405C4">
        <w:rPr>
          <w:rFonts w:cs="Baskerville"/>
          <w:szCs w:val="28"/>
          <w14:ligatures w14:val="standardContextual"/>
        </w:rPr>
        <w:t>1</w:t>
      </w:r>
    </w:p>
    <w:p w14:paraId="472964F3" w14:textId="1AC2B6ED" w:rsidR="00786DCE" w:rsidRPr="00E405C4" w:rsidRDefault="00C8712E" w:rsidP="006507B3">
      <w:pPr>
        <w:pStyle w:val="Cover-Caption"/>
        <w:spacing w:after="0"/>
        <w:rPr>
          <w:rFonts w:ascii="Adobe Garamond Pro" w:hAnsi="Adobe Garamond Pro"/>
          <w:kern w:val="0"/>
          <w:szCs w:val="28"/>
          <w14:ligatures w14:val="standardContextual"/>
        </w:rPr>
      </w:pPr>
      <w:r w:rsidRPr="00E405C4">
        <w:rPr>
          <w:rFonts w:ascii="Adobe Garamond Pro" w:hAnsi="Adobe Garamond Pro"/>
          <w:kern w:val="0"/>
          <w:szCs w:val="28"/>
          <w14:ligatures w14:val="standardContextual"/>
        </w:rPr>
        <w:t xml:space="preserve">IN THE </w:t>
      </w:r>
      <w:r w:rsidR="00FF0998" w:rsidRPr="00E405C4">
        <w:rPr>
          <w:rFonts w:ascii="Adobe Garamond Pro" w:hAnsi="Adobe Garamond Pro"/>
          <w:kern w:val="0"/>
          <w:szCs w:val="28"/>
          <w14:ligatures w14:val="standardContextual"/>
        </w:rPr>
        <w:t xml:space="preserve">court of appeals </w:t>
      </w:r>
      <w:r w:rsidR="00786DCE" w:rsidRPr="00E405C4">
        <w:rPr>
          <w:rFonts w:ascii="Adobe Garamond Pro" w:hAnsi="Adobe Garamond Pro"/>
          <w:kern w:val="0"/>
          <w:szCs w:val="28"/>
          <w14:ligatures w14:val="standardContextual"/>
        </w:rPr>
        <w:br/>
      </w:r>
      <w:r w:rsidR="00FF0998" w:rsidRPr="00E405C4">
        <w:rPr>
          <w:rFonts w:ascii="Adobe Garamond Pro" w:hAnsi="Adobe Garamond Pro"/>
          <w:kern w:val="0"/>
          <w:szCs w:val="28"/>
          <w14:ligatures w14:val="standardContextual"/>
        </w:rPr>
        <w:t>of the state of</w:t>
      </w:r>
      <w:r w:rsidR="00786DCE" w:rsidRPr="00E405C4">
        <w:rPr>
          <w:rFonts w:ascii="Adobe Garamond Pro" w:hAnsi="Adobe Garamond Pro"/>
          <w:kern w:val="0"/>
          <w:szCs w:val="28"/>
          <w14:ligatures w14:val="standardContextual"/>
        </w:rPr>
        <w:t xml:space="preserve"> </w:t>
      </w:r>
      <w:r w:rsidR="00FF0998" w:rsidRPr="00E405C4">
        <w:rPr>
          <w:rFonts w:ascii="Adobe Garamond Pro" w:hAnsi="Adobe Garamond Pro"/>
          <w:kern w:val="0"/>
          <w:szCs w:val="28"/>
          <w14:ligatures w14:val="standardContextual"/>
        </w:rPr>
        <w:t>washington</w:t>
      </w:r>
      <w:r w:rsidR="00786DCE" w:rsidRPr="00E405C4">
        <w:rPr>
          <w:rFonts w:ascii="Adobe Garamond Pro" w:hAnsi="Adobe Garamond Pro"/>
          <w:kern w:val="0"/>
          <w:szCs w:val="28"/>
          <w14:ligatures w14:val="standardContextual"/>
        </w:rPr>
        <w:t>,</w:t>
      </w:r>
      <w:r w:rsidR="00786DCE" w:rsidRPr="00E405C4">
        <w:rPr>
          <w:rFonts w:ascii="Adobe Garamond Pro" w:hAnsi="Adobe Garamond Pro"/>
          <w:kern w:val="0"/>
          <w:szCs w:val="28"/>
          <w14:ligatures w14:val="standardContextual"/>
        </w:rPr>
        <w:br/>
      </w:r>
      <w:r w:rsidR="00FF0998" w:rsidRPr="00E405C4">
        <w:rPr>
          <w:rFonts w:ascii="Adobe Garamond Pro" w:hAnsi="Adobe Garamond Pro"/>
          <w:kern w:val="0"/>
          <w:szCs w:val="28"/>
          <w14:ligatures w14:val="standardContextual"/>
        </w:rPr>
        <w:t>division one</w:t>
      </w:r>
      <w:bookmarkStart w:id="3" w:name="_Toc105595228"/>
      <w:bookmarkEnd w:id="0"/>
      <w:bookmarkEnd w:id="1"/>
    </w:p>
    <w:p w14:paraId="02C96E91" w14:textId="77777777" w:rsidR="00786DCE" w:rsidRPr="00E405C4" w:rsidRDefault="00FF0998" w:rsidP="00256B0B">
      <w:pPr>
        <w:spacing w:before="240"/>
        <w:jc w:val="center"/>
        <w:outlineLvl w:val="0"/>
        <w:rPr>
          <w:rFonts w:cs="Baskerville"/>
          <w:smallCaps/>
          <w:szCs w:val="28"/>
          <w14:ligatures w14:val="standardContextual"/>
        </w:rPr>
      </w:pPr>
      <w:bookmarkStart w:id="4" w:name="_Toc109289837"/>
      <w:bookmarkStart w:id="5" w:name="_Toc109728311"/>
      <w:r w:rsidRPr="00E405C4">
        <w:rPr>
          <w:rFonts w:cs="Baskerville"/>
          <w:smallCaps/>
          <w:szCs w:val="28"/>
          <w14:ligatures w14:val="standardContextual"/>
        </w:rPr>
        <w:t>Kerry L. Erickson; Michelle M.</w:t>
      </w:r>
      <w:bookmarkEnd w:id="3"/>
      <w:r w:rsidRPr="00E405C4">
        <w:rPr>
          <w:rFonts w:cs="Baskerville"/>
          <w:smallCaps/>
          <w:szCs w:val="28"/>
          <w14:ligatures w14:val="standardContextual"/>
        </w:rPr>
        <w:t xml:space="preserve"> Leahy; Richard A. Leahy; </w:t>
      </w:r>
      <w:r w:rsidRPr="00E405C4">
        <w:rPr>
          <w:rFonts w:cs="Baskerville"/>
          <w:szCs w:val="28"/>
          <w14:ligatures w14:val="standardContextual"/>
        </w:rPr>
        <w:t>and</w:t>
      </w:r>
      <w:r w:rsidRPr="00E405C4">
        <w:rPr>
          <w:rFonts w:cs="Baskerville"/>
          <w:smallCaps/>
          <w:szCs w:val="28"/>
          <w14:ligatures w14:val="standardContextual"/>
        </w:rPr>
        <w:t xml:space="preserve"> Joyce E. Marquardt,</w:t>
      </w:r>
      <w:bookmarkEnd w:id="4"/>
      <w:bookmarkEnd w:id="5"/>
      <w:r w:rsidR="00786DCE" w:rsidRPr="00E405C4">
        <w:rPr>
          <w:rFonts w:cs="Baskerville"/>
          <w:smallCaps/>
          <w:szCs w:val="28"/>
          <w14:ligatures w14:val="standardContextual"/>
        </w:rPr>
        <w:t xml:space="preserve"> </w:t>
      </w:r>
    </w:p>
    <w:p w14:paraId="1DE2E1AA" w14:textId="2897EE74" w:rsidR="000752BE" w:rsidRPr="00E405C4" w:rsidRDefault="00FF0998" w:rsidP="00E91444">
      <w:pPr>
        <w:jc w:val="center"/>
        <w:outlineLvl w:val="0"/>
        <w:rPr>
          <w:rFonts w:cs="Baskerville"/>
          <w:smallCaps/>
          <w:szCs w:val="28"/>
          <w14:ligatures w14:val="standardContextual"/>
        </w:rPr>
      </w:pPr>
      <w:bookmarkStart w:id="6" w:name="_Toc109289838"/>
      <w:bookmarkStart w:id="7" w:name="_Toc109728312"/>
      <w:proofErr w:type="spellStart"/>
      <w:r w:rsidRPr="00E405C4">
        <w:rPr>
          <w:rFonts w:cs="Baskerville"/>
          <w:i/>
          <w:iCs/>
          <w:szCs w:val="28"/>
          <w:lang w:val="fr-FR"/>
          <w14:ligatures w14:val="standardContextual"/>
        </w:rPr>
        <w:t>Plaintiffs-Respondents</w:t>
      </w:r>
      <w:proofErr w:type="spellEnd"/>
      <w:r w:rsidRPr="00E405C4">
        <w:rPr>
          <w:rFonts w:cs="Baskerville"/>
          <w:i/>
          <w:iCs/>
          <w:szCs w:val="28"/>
          <w:lang w:val="fr-FR"/>
          <w14:ligatures w14:val="standardContextual"/>
        </w:rPr>
        <w:t>,</w:t>
      </w:r>
      <w:bookmarkEnd w:id="6"/>
      <w:bookmarkEnd w:id="7"/>
    </w:p>
    <w:p w14:paraId="34BAD845" w14:textId="219F7013" w:rsidR="000752BE" w:rsidRPr="00E405C4" w:rsidRDefault="00C8712E" w:rsidP="00256B0B">
      <w:pPr>
        <w:spacing w:before="80" w:after="80"/>
        <w:jc w:val="center"/>
        <w:rPr>
          <w:rFonts w:cs="Baskerville"/>
          <w:szCs w:val="28"/>
          <w:lang w:val="fr-FR"/>
          <w14:ligatures w14:val="standardContextual"/>
        </w:rPr>
      </w:pPr>
      <w:r w:rsidRPr="00E405C4">
        <w:rPr>
          <w:rFonts w:cs="Baskerville"/>
          <w:szCs w:val="28"/>
          <w:lang w:val="fr-FR"/>
          <w14:ligatures w14:val="standardContextual"/>
        </w:rPr>
        <w:t>v.</w:t>
      </w:r>
      <w:bookmarkStart w:id="8" w:name="_Toc3552001"/>
      <w:bookmarkStart w:id="9" w:name="_Toc3552280"/>
    </w:p>
    <w:p w14:paraId="67900550" w14:textId="77777777" w:rsidR="00786DCE" w:rsidRPr="00E405C4" w:rsidRDefault="00FF0998" w:rsidP="00E91444">
      <w:pPr>
        <w:jc w:val="center"/>
        <w:rPr>
          <w:rFonts w:cs="Baskerville"/>
          <w:szCs w:val="28"/>
          <w14:ligatures w14:val="standardContextual"/>
        </w:rPr>
      </w:pPr>
      <w:r w:rsidRPr="00E405C4">
        <w:rPr>
          <w:rFonts w:cs="Baskerville"/>
          <w:smallCaps/>
          <w:szCs w:val="28"/>
          <w14:ligatures w14:val="standardContextual"/>
        </w:rPr>
        <w:t xml:space="preserve">Pharmacia LLC, </w:t>
      </w:r>
      <w:r w:rsidRPr="00E405C4">
        <w:rPr>
          <w:rFonts w:cs="Baskerville"/>
          <w:szCs w:val="28"/>
          <w14:ligatures w14:val="standardContextual"/>
        </w:rPr>
        <w:t>Delaware limited liability company, f/k/a Pharmacia Corporation,</w:t>
      </w:r>
      <w:bookmarkStart w:id="10" w:name="_Toc105595229"/>
      <w:bookmarkEnd w:id="8"/>
      <w:bookmarkEnd w:id="9"/>
      <w:r w:rsidR="00786DCE" w:rsidRPr="00E405C4">
        <w:rPr>
          <w:rFonts w:cs="Baskerville"/>
          <w:szCs w:val="28"/>
          <w14:ligatures w14:val="standardContextual"/>
        </w:rPr>
        <w:t xml:space="preserve"> </w:t>
      </w:r>
    </w:p>
    <w:p w14:paraId="5E0303C5" w14:textId="3AF055B9" w:rsidR="00786DCE" w:rsidRPr="00E405C4" w:rsidRDefault="00FF0998" w:rsidP="00256B0B">
      <w:pPr>
        <w:spacing w:after="240"/>
        <w:jc w:val="center"/>
        <w:rPr>
          <w:rFonts w:cs="Baskerville"/>
          <w:szCs w:val="28"/>
          <w14:ligatures w14:val="standardContextual"/>
        </w:rPr>
      </w:pPr>
      <w:r w:rsidRPr="00E405C4">
        <w:rPr>
          <w:rFonts w:cs="Baskerville"/>
          <w:i/>
          <w:szCs w:val="28"/>
          <w14:ligatures w14:val="standardContextual"/>
        </w:rPr>
        <w:t>Defendant-Petitioner</w:t>
      </w:r>
      <w:bookmarkEnd w:id="10"/>
      <w:r w:rsidRPr="00E405C4">
        <w:rPr>
          <w:rFonts w:cs="Baskerville"/>
          <w:i/>
          <w:szCs w:val="28"/>
          <w14:ligatures w14:val="standardContextual"/>
        </w:rPr>
        <w:t>.</w:t>
      </w:r>
    </w:p>
    <w:p w14:paraId="35D61E28" w14:textId="52C7DC28" w:rsidR="00C8712E" w:rsidRPr="00E405C4" w:rsidRDefault="000752BE" w:rsidP="00823159">
      <w:pPr>
        <w:pStyle w:val="Cover-Caption"/>
        <w:pBdr>
          <w:bottom w:val="single" w:sz="6" w:space="10" w:color="auto"/>
        </w:pBdr>
        <w:spacing w:after="0"/>
        <w:rPr>
          <w:rFonts w:ascii="Adobe Garamond Pro" w:hAnsi="Adobe Garamond Pro"/>
          <w:kern w:val="0"/>
          <w:szCs w:val="28"/>
          <w14:ligatures w14:val="standardContextual"/>
        </w:rPr>
      </w:pPr>
      <w:r w:rsidRPr="00E405C4">
        <w:rPr>
          <w:rFonts w:ascii="Adobe Garamond Pro" w:hAnsi="Adobe Garamond Pro"/>
          <w:kern w:val="0"/>
          <w:szCs w:val="28"/>
          <w14:ligatures w14:val="standardContextual"/>
        </w:rPr>
        <w:t>respondents’ brief</w:t>
      </w:r>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86"/>
        <w:gridCol w:w="3090"/>
        <w:gridCol w:w="286"/>
      </w:tblGrid>
      <w:tr w:rsidR="00144770" w:rsidRPr="00E405C4" w14:paraId="3C8F841B" w14:textId="77777777" w:rsidTr="00144770">
        <w:trPr>
          <w:gridAfter w:val="1"/>
          <w:wAfter w:w="286" w:type="dxa"/>
        </w:trPr>
        <w:tc>
          <w:tcPr>
            <w:tcW w:w="3538" w:type="dxa"/>
          </w:tcPr>
          <w:p w14:paraId="1846DBA1" w14:textId="5754B869" w:rsidR="0049081C" w:rsidRPr="00E405C4" w:rsidRDefault="00786DCE" w:rsidP="00256B0B">
            <w:pPr>
              <w:suppressAutoHyphens/>
              <w:spacing w:before="240"/>
              <w:rPr>
                <w:rFonts w:cs="Baskerville"/>
                <w:smallCaps/>
                <w:szCs w:val="28"/>
                <w14:ligatures w14:val="standardContextual"/>
              </w:rPr>
            </w:pPr>
            <w:r w:rsidRPr="00E405C4">
              <w:rPr>
                <w:rFonts w:cs="Baskerville"/>
                <w:smallCaps/>
                <w:szCs w:val="28"/>
                <w14:ligatures w14:val="standardContextual"/>
              </w:rPr>
              <w:t>Richard H. Friedman</w:t>
            </w:r>
            <w:r w:rsidR="0049081C" w:rsidRPr="00E405C4">
              <w:rPr>
                <w:rFonts w:cs="Baskerville"/>
                <w:smallCaps/>
                <w:szCs w:val="28"/>
                <w14:ligatures w14:val="standardContextual"/>
              </w:rPr>
              <w:br/>
              <w:t>William S. Cummings</w:t>
            </w:r>
          </w:p>
          <w:p w14:paraId="317E0CD2" w14:textId="0404A13F"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Sean J. Gamble </w:t>
            </w:r>
          </w:p>
          <w:p w14:paraId="4BBE9FBE" w14:textId="6E2B10E0"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James A. Hertz </w:t>
            </w:r>
          </w:p>
          <w:p w14:paraId="6B03127D" w14:textId="1D86EFDC"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Henry G. Jones </w:t>
            </w:r>
          </w:p>
          <w:p w14:paraId="6FE936C6" w14:textId="6287E90F"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Ronald J. Park </w:t>
            </w:r>
          </w:p>
          <w:p w14:paraId="60E74363" w14:textId="77777777" w:rsidR="00786DCE" w:rsidRPr="00E405C4" w:rsidRDefault="00786DCE" w:rsidP="00786DCE">
            <w:pPr>
              <w:suppressAutoHyphens/>
              <w:rPr>
                <w:rFonts w:cs="Baskerville"/>
                <w:caps/>
                <w:szCs w:val="28"/>
                <w14:ligatures w14:val="standardContextual"/>
              </w:rPr>
            </w:pPr>
            <w:r w:rsidRPr="00E405C4">
              <w:rPr>
                <w:rFonts w:cs="Baskerville"/>
                <w:caps/>
                <w:szCs w:val="28"/>
                <w14:ligatures w14:val="standardContextual"/>
              </w:rPr>
              <w:t>Friedman Rubin PLLP</w:t>
            </w:r>
          </w:p>
          <w:p w14:paraId="231117BD" w14:textId="77777777"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1109 First Avenue, Suite 501</w:t>
            </w:r>
          </w:p>
          <w:p w14:paraId="61C88147" w14:textId="77777777"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Seattle, WA 98101</w:t>
            </w:r>
          </w:p>
          <w:p w14:paraId="4D915E4B" w14:textId="7FFC1B72" w:rsidR="006956B5" w:rsidRPr="00E405C4" w:rsidRDefault="00786DCE" w:rsidP="000752BE">
            <w:pPr>
              <w:suppressAutoHyphens/>
              <w:rPr>
                <w:rFonts w:cs="Baskerville"/>
                <w:szCs w:val="28"/>
                <w14:ligatures w14:val="standardContextual"/>
              </w:rPr>
            </w:pPr>
            <w:r w:rsidRPr="00E405C4">
              <w:rPr>
                <w:rFonts w:cs="Baskerville"/>
                <w:szCs w:val="28"/>
                <w14:ligatures w14:val="standardContextual"/>
              </w:rPr>
              <w:t>(206) 501-4446</w:t>
            </w:r>
          </w:p>
          <w:p w14:paraId="6B233634" w14:textId="77777777" w:rsidR="00786DCE" w:rsidRPr="00E405C4" w:rsidRDefault="00786DCE" w:rsidP="00786DCE">
            <w:pPr>
              <w:suppressAutoHyphens/>
              <w:rPr>
                <w:rFonts w:cs="Baskerville"/>
                <w:i/>
                <w:iCs/>
                <w:szCs w:val="28"/>
                <w14:ligatures w14:val="standardContextual"/>
              </w:rPr>
            </w:pPr>
            <w:r w:rsidRPr="00E405C4">
              <w:rPr>
                <w:rFonts w:cs="Baskerville"/>
                <w:i/>
                <w:iCs/>
                <w:szCs w:val="28"/>
                <w14:ligatures w14:val="standardContextual"/>
              </w:rPr>
              <w:t>rfriedman@friedmanrubin.com</w:t>
            </w:r>
          </w:p>
          <w:p w14:paraId="2E6B0A7E" w14:textId="77777777" w:rsidR="00C8712E" w:rsidRPr="00E405C4" w:rsidRDefault="00C8712E" w:rsidP="000752BE">
            <w:pPr>
              <w:suppressAutoHyphens/>
              <w:rPr>
                <w:rFonts w:cs="Baskerville"/>
                <w:szCs w:val="28"/>
                <w14:ligatures w14:val="standardContextual"/>
              </w:rPr>
            </w:pPr>
          </w:p>
          <w:p w14:paraId="377982A6" w14:textId="0CEDB1FF"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 xml:space="preserve">* </w:t>
            </w:r>
            <w:proofErr w:type="gramStart"/>
            <w:r w:rsidRPr="00E405C4">
              <w:rPr>
                <w:rFonts w:cs="Baskerville"/>
                <w:szCs w:val="28"/>
                <w14:ligatures w14:val="standardContextual"/>
              </w:rPr>
              <w:t>admitted</w:t>
            </w:r>
            <w:proofErr w:type="gramEnd"/>
            <w:r w:rsidRPr="00E405C4">
              <w:rPr>
                <w:rFonts w:cs="Baskerville"/>
                <w:szCs w:val="28"/>
                <w14:ligatures w14:val="standardContextual"/>
              </w:rPr>
              <w:t xml:space="preserve"> </w:t>
            </w:r>
            <w:r w:rsidRPr="00E405C4">
              <w:rPr>
                <w:rFonts w:cs="Baskerville"/>
                <w:i/>
                <w:iCs/>
                <w:szCs w:val="28"/>
                <w14:ligatures w14:val="standardContextual"/>
              </w:rPr>
              <w:t>pro hac vice</w:t>
            </w:r>
          </w:p>
        </w:tc>
        <w:tc>
          <w:tcPr>
            <w:tcW w:w="3376" w:type="dxa"/>
            <w:gridSpan w:val="2"/>
          </w:tcPr>
          <w:p w14:paraId="473077C9" w14:textId="64416F35" w:rsidR="00786DCE" w:rsidRPr="00E405C4" w:rsidRDefault="00786DCE" w:rsidP="00256B0B">
            <w:pPr>
              <w:suppressAutoHyphens/>
              <w:spacing w:before="240"/>
              <w:rPr>
                <w:rFonts w:cs="Baskerville"/>
                <w:i/>
                <w:iCs/>
                <w:szCs w:val="28"/>
                <w14:ligatures w14:val="standardContextual"/>
              </w:rPr>
            </w:pPr>
            <w:r w:rsidRPr="00E405C4">
              <w:rPr>
                <w:rFonts w:cs="Baskerville"/>
                <w:smallCaps/>
                <w:szCs w:val="28"/>
                <w14:ligatures w14:val="standardContextual"/>
              </w:rPr>
              <w:t xml:space="preserve">Deepak Gupta* </w:t>
            </w:r>
          </w:p>
          <w:p w14:paraId="297040E6" w14:textId="3D54371F"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Jonathan E. Taylor* </w:t>
            </w:r>
          </w:p>
          <w:p w14:paraId="52767A17" w14:textId="7BAD35CA"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 xml:space="preserve">Gregory A. Beck* </w:t>
            </w:r>
          </w:p>
          <w:p w14:paraId="2636A996" w14:textId="3EF58589" w:rsidR="00786DCE" w:rsidRPr="00E405C4" w:rsidRDefault="00786DCE" w:rsidP="00786DCE">
            <w:pPr>
              <w:suppressAutoHyphens/>
              <w:rPr>
                <w:rFonts w:cs="Baskerville"/>
                <w:smallCaps/>
                <w:szCs w:val="28"/>
                <w14:ligatures w14:val="standardContextual"/>
              </w:rPr>
            </w:pPr>
            <w:r w:rsidRPr="00E405C4">
              <w:rPr>
                <w:rFonts w:cs="Baskerville"/>
                <w:smallCaps/>
                <w:szCs w:val="28"/>
                <w14:ligatures w14:val="standardContextual"/>
              </w:rPr>
              <w:t>Robert D. Friedman*</w:t>
            </w:r>
            <w:r w:rsidRPr="00E405C4">
              <w:rPr>
                <w:rFonts w:cs="Baskerville"/>
                <w:i/>
                <w:iCs/>
                <w:szCs w:val="28"/>
                <w14:ligatures w14:val="standardContextual"/>
              </w:rPr>
              <w:t xml:space="preserve"> </w:t>
            </w:r>
          </w:p>
          <w:p w14:paraId="1A14A22E" w14:textId="5D9DEAD5" w:rsidR="00786DCE" w:rsidRPr="00E405C4" w:rsidRDefault="00786DCE" w:rsidP="00786DCE">
            <w:pPr>
              <w:suppressAutoHyphens/>
              <w:rPr>
                <w:rFonts w:cs="Baskerville"/>
                <w:caps/>
                <w:szCs w:val="28"/>
                <w14:ligatures w14:val="standardContextual"/>
              </w:rPr>
            </w:pPr>
            <w:r w:rsidRPr="00E405C4">
              <w:rPr>
                <w:rFonts w:cs="Baskerville"/>
                <w:caps/>
                <w:szCs w:val="28"/>
                <w14:ligatures w14:val="standardContextual"/>
              </w:rPr>
              <w:t>G</w:t>
            </w:r>
            <w:r w:rsidR="0043224D" w:rsidRPr="00E405C4">
              <w:rPr>
                <w:rFonts w:cs="Baskerville"/>
                <w:caps/>
                <w:szCs w:val="28"/>
                <w14:ligatures w14:val="standardContextual"/>
              </w:rPr>
              <w:t>u</w:t>
            </w:r>
            <w:r w:rsidR="00E35A83" w:rsidRPr="00E405C4">
              <w:rPr>
                <w:rFonts w:cs="Baskerville"/>
                <w:caps/>
                <w:szCs w:val="28"/>
                <w14:ligatures w14:val="standardContextual"/>
              </w:rPr>
              <w:t>PTA</w:t>
            </w:r>
            <w:r w:rsidRPr="00E405C4">
              <w:rPr>
                <w:rFonts w:cs="Baskerville"/>
                <w:caps/>
                <w:szCs w:val="28"/>
                <w14:ligatures w14:val="standardContextual"/>
              </w:rPr>
              <w:t xml:space="preserve"> Wessler PLLC</w:t>
            </w:r>
          </w:p>
          <w:p w14:paraId="715B0165" w14:textId="64BAFD06"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2001 K Street, NW</w:t>
            </w:r>
            <w:r w:rsidR="00E91444" w:rsidRPr="00E405C4">
              <w:rPr>
                <w:rFonts w:cs="Baskerville"/>
                <w:szCs w:val="28"/>
                <w14:ligatures w14:val="standardContextual"/>
              </w:rPr>
              <w:t xml:space="preserve">, </w:t>
            </w:r>
            <w:r w:rsidRPr="00E405C4">
              <w:rPr>
                <w:rFonts w:cs="Baskerville"/>
                <w:szCs w:val="28"/>
                <w14:ligatures w14:val="standardContextual"/>
              </w:rPr>
              <w:t>Suite 850</w:t>
            </w:r>
          </w:p>
          <w:p w14:paraId="4B51739B" w14:textId="77777777"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Washington, DC 20006</w:t>
            </w:r>
          </w:p>
          <w:p w14:paraId="0ECCDB27" w14:textId="77777777" w:rsidR="00786DCE" w:rsidRPr="00E405C4" w:rsidRDefault="00786DCE" w:rsidP="00786DCE">
            <w:pPr>
              <w:suppressAutoHyphens/>
              <w:rPr>
                <w:rFonts w:cs="Baskerville"/>
                <w:szCs w:val="28"/>
                <w14:ligatures w14:val="standardContextual"/>
              </w:rPr>
            </w:pPr>
            <w:r w:rsidRPr="00E405C4">
              <w:rPr>
                <w:rFonts w:cs="Baskerville"/>
                <w:szCs w:val="28"/>
                <w14:ligatures w14:val="standardContextual"/>
              </w:rPr>
              <w:t>(202) 888-1741</w:t>
            </w:r>
          </w:p>
          <w:p w14:paraId="69805D31" w14:textId="27AC4C32" w:rsidR="00A65D7C" w:rsidRPr="00E405C4" w:rsidRDefault="00786DCE" w:rsidP="00E91444">
            <w:pPr>
              <w:suppressAutoHyphens/>
              <w:spacing w:after="240"/>
              <w:rPr>
                <w:rFonts w:cs="Baskerville"/>
                <w:i/>
                <w:iCs/>
                <w:szCs w:val="28"/>
                <w14:ligatures w14:val="standardContextual"/>
              </w:rPr>
            </w:pPr>
            <w:r w:rsidRPr="00E405C4">
              <w:rPr>
                <w:rFonts w:cs="Baskerville"/>
                <w:i/>
                <w:iCs/>
                <w:szCs w:val="28"/>
                <w14:ligatures w14:val="standardContextual"/>
              </w:rPr>
              <w:t>deepak@guptawessler.com</w:t>
            </w:r>
          </w:p>
          <w:p w14:paraId="0DCBC643" w14:textId="7489C8B6" w:rsidR="00D948CE" w:rsidRPr="00E405C4" w:rsidRDefault="00D948CE" w:rsidP="00D948CE">
            <w:pPr>
              <w:suppressAutoHyphens/>
              <w:rPr>
                <w:rFonts w:cs="Baskerville"/>
                <w:i/>
                <w:iCs/>
                <w:szCs w:val="28"/>
                <w14:ligatures w14:val="standardContextual"/>
              </w:rPr>
            </w:pPr>
            <w:r w:rsidRPr="00E405C4">
              <w:rPr>
                <w:rFonts w:cs="Baskerville"/>
                <w:smallCaps/>
                <w:szCs w:val="28"/>
                <w14:ligatures w14:val="standardContextual"/>
              </w:rPr>
              <w:t>Neil K. Sawhney</w:t>
            </w:r>
            <w:r w:rsidR="00786DCE" w:rsidRPr="00E405C4">
              <w:rPr>
                <w:rFonts w:cs="Baskerville"/>
                <w:smallCaps/>
                <w:szCs w:val="28"/>
                <w14:ligatures w14:val="standardContextual"/>
              </w:rPr>
              <w:t>*</w:t>
            </w:r>
            <w:r w:rsidRPr="00E405C4">
              <w:rPr>
                <w:rFonts w:cs="Baskerville"/>
                <w:smallCaps/>
                <w:szCs w:val="28"/>
                <w14:ligatures w14:val="standardContextual"/>
              </w:rPr>
              <w:t xml:space="preserve"> </w:t>
            </w:r>
          </w:p>
          <w:p w14:paraId="5D81A00D" w14:textId="77777777" w:rsidR="00D948CE" w:rsidRPr="00E405C4" w:rsidRDefault="00D948CE" w:rsidP="00D948CE">
            <w:pPr>
              <w:suppressAutoHyphens/>
              <w:rPr>
                <w:rFonts w:cs="Baskerville"/>
                <w:caps/>
                <w:szCs w:val="28"/>
                <w14:ligatures w14:val="standardContextual"/>
              </w:rPr>
            </w:pPr>
            <w:r w:rsidRPr="00E405C4">
              <w:rPr>
                <w:rFonts w:cs="Baskerville"/>
                <w:caps/>
                <w:szCs w:val="28"/>
                <w14:ligatures w14:val="standardContextual"/>
              </w:rPr>
              <w:t>Gupta Wessler PLLC</w:t>
            </w:r>
          </w:p>
          <w:p w14:paraId="50E5F6E7" w14:textId="77777777" w:rsidR="00D948CE" w:rsidRPr="00E405C4" w:rsidRDefault="00D948CE" w:rsidP="00D948CE">
            <w:pPr>
              <w:suppressAutoHyphens/>
              <w:rPr>
                <w:rFonts w:cs="Baskerville"/>
                <w:szCs w:val="28"/>
                <w14:ligatures w14:val="standardContextual"/>
              </w:rPr>
            </w:pPr>
            <w:r w:rsidRPr="00E405C4">
              <w:rPr>
                <w:rFonts w:cs="Baskerville"/>
                <w:szCs w:val="28"/>
                <w14:ligatures w14:val="standardContextual"/>
              </w:rPr>
              <w:t>100 Pine Street, Suite 1250</w:t>
            </w:r>
          </w:p>
          <w:p w14:paraId="213DD024" w14:textId="77777777" w:rsidR="00D948CE" w:rsidRPr="00E405C4" w:rsidRDefault="00D948CE" w:rsidP="00D948CE">
            <w:pPr>
              <w:suppressAutoHyphens/>
              <w:rPr>
                <w:rFonts w:cs="Baskerville"/>
                <w:szCs w:val="28"/>
                <w14:ligatures w14:val="standardContextual"/>
              </w:rPr>
            </w:pPr>
            <w:r w:rsidRPr="00E405C4">
              <w:rPr>
                <w:rFonts w:cs="Baskerville"/>
                <w:szCs w:val="28"/>
                <w14:ligatures w14:val="standardContextual"/>
              </w:rPr>
              <w:t>San Francisco, CA 94111</w:t>
            </w:r>
          </w:p>
          <w:p w14:paraId="5580782F" w14:textId="15D23C83" w:rsidR="00786DCE" w:rsidRPr="00E405C4" w:rsidRDefault="00D948CE" w:rsidP="000752BE">
            <w:pPr>
              <w:suppressAutoHyphens/>
              <w:rPr>
                <w:rFonts w:cs="Baskerville"/>
                <w:szCs w:val="28"/>
                <w14:ligatures w14:val="standardContextual"/>
              </w:rPr>
            </w:pPr>
            <w:r w:rsidRPr="00E405C4">
              <w:rPr>
                <w:rFonts w:cs="Baskerville"/>
                <w:szCs w:val="28"/>
                <w14:ligatures w14:val="standardContextual"/>
              </w:rPr>
              <w:t>(202) 888-1741</w:t>
            </w:r>
          </w:p>
        </w:tc>
      </w:tr>
      <w:tr w:rsidR="00A65D7C" w:rsidRPr="00E405C4" w14:paraId="480D8FA3" w14:textId="77777777" w:rsidTr="00144770">
        <w:tc>
          <w:tcPr>
            <w:tcW w:w="3824" w:type="dxa"/>
            <w:gridSpan w:val="2"/>
          </w:tcPr>
          <w:p w14:paraId="68CBE243" w14:textId="77777777" w:rsidR="00C8712E" w:rsidRPr="00E405C4" w:rsidRDefault="00C8712E" w:rsidP="000752BE">
            <w:pPr>
              <w:suppressAutoHyphens/>
              <w:rPr>
                <w:rFonts w:cs="Baskerville"/>
                <w:szCs w:val="28"/>
                <w14:ligatures w14:val="standardContextual"/>
              </w:rPr>
            </w:pPr>
          </w:p>
        </w:tc>
        <w:tc>
          <w:tcPr>
            <w:tcW w:w="3376" w:type="dxa"/>
            <w:gridSpan w:val="2"/>
          </w:tcPr>
          <w:p w14:paraId="70B4181A" w14:textId="77777777" w:rsidR="00C8712E" w:rsidRPr="00E405C4" w:rsidRDefault="00C8712E" w:rsidP="000752BE">
            <w:pPr>
              <w:suppressAutoHyphens/>
              <w:rPr>
                <w:rFonts w:cs="Baskerville"/>
                <w:smallCaps/>
                <w:szCs w:val="28"/>
                <w14:ligatures w14:val="standardContextual"/>
              </w:rPr>
            </w:pPr>
          </w:p>
        </w:tc>
      </w:tr>
    </w:tbl>
    <w:p w14:paraId="7EB5EF16" w14:textId="131378E1" w:rsidR="00C8712E" w:rsidRPr="00E405C4" w:rsidRDefault="00C8712E" w:rsidP="000752BE">
      <w:pPr>
        <w:rPr>
          <w:i/>
          <w:iCs/>
          <w:szCs w:val="28"/>
          <w14:ligatures w14:val="standardContextual"/>
        </w:rPr>
        <w:sectPr w:rsidR="00C8712E" w:rsidRPr="00E405C4" w:rsidSect="00CF4A3A">
          <w:footerReference w:type="even" r:id="rId8"/>
          <w:footerReference w:type="default" r:id="rId9"/>
          <w:pgSz w:w="12240" w:h="15840" w:code="1"/>
          <w:pgMar w:top="2160" w:right="2160" w:bottom="2160" w:left="2880" w:header="720" w:footer="720" w:gutter="0"/>
          <w:pgNumType w:fmt="lowerRoman" w:start="1"/>
          <w:cols w:space="720"/>
          <w:docGrid w:linePitch="360"/>
        </w:sectPr>
      </w:pPr>
      <w:r w:rsidRPr="00E405C4">
        <w:rPr>
          <w:szCs w:val="28"/>
          <w14:ligatures w14:val="standardContextual"/>
        </w:rPr>
        <w:t>Ju</w:t>
      </w:r>
      <w:r w:rsidR="00823159" w:rsidRPr="00E405C4">
        <w:rPr>
          <w:szCs w:val="28"/>
          <w14:ligatures w14:val="standardContextual"/>
        </w:rPr>
        <w:t>ly</w:t>
      </w:r>
      <w:r w:rsidRPr="00E405C4">
        <w:rPr>
          <w:szCs w:val="28"/>
          <w14:ligatures w14:val="standardContextual"/>
        </w:rPr>
        <w:t xml:space="preserve"> </w:t>
      </w:r>
      <w:r w:rsidR="00823159" w:rsidRPr="00E405C4">
        <w:rPr>
          <w:szCs w:val="28"/>
          <w14:ligatures w14:val="standardContextual"/>
        </w:rPr>
        <w:t>26</w:t>
      </w:r>
      <w:r w:rsidRPr="00E405C4">
        <w:rPr>
          <w:szCs w:val="28"/>
          <w14:ligatures w14:val="standardContextual"/>
        </w:rPr>
        <w:t xml:space="preserve">, </w:t>
      </w:r>
      <w:proofErr w:type="gramStart"/>
      <w:r w:rsidRPr="00E405C4">
        <w:rPr>
          <w:szCs w:val="28"/>
          <w14:ligatures w14:val="standardContextual"/>
        </w:rPr>
        <w:t>2022</w:t>
      </w:r>
      <w:proofErr w:type="gramEnd"/>
      <w:r w:rsidRPr="00E405C4">
        <w:rPr>
          <w:szCs w:val="28"/>
          <w14:ligatures w14:val="standardContextual"/>
        </w:rPr>
        <w:t xml:space="preserve">                               </w:t>
      </w:r>
      <w:r w:rsidR="00144770" w:rsidRPr="00E405C4">
        <w:rPr>
          <w:szCs w:val="28"/>
          <w14:ligatures w14:val="standardContextual"/>
        </w:rPr>
        <w:t xml:space="preserve"> </w:t>
      </w:r>
      <w:r w:rsidRPr="00E405C4">
        <w:rPr>
          <w:i/>
          <w:iCs/>
          <w:szCs w:val="28"/>
          <w14:ligatures w14:val="standardContextual"/>
        </w:rPr>
        <w:t>Counsel for</w:t>
      </w:r>
      <w:r w:rsidR="00823159" w:rsidRPr="00E405C4">
        <w:rPr>
          <w:i/>
          <w:iCs/>
          <w:szCs w:val="28"/>
          <w14:ligatures w14:val="standardContextual"/>
        </w:rPr>
        <w:t xml:space="preserve"> Plaintiffs-Respondent</w:t>
      </w:r>
      <w:r w:rsidR="00144770" w:rsidRPr="00E405C4">
        <w:rPr>
          <w:i/>
          <w:iCs/>
          <w:szCs w:val="28"/>
          <w14:ligatures w14:val="standardContextual"/>
        </w:rPr>
        <w:t>s</w:t>
      </w:r>
    </w:p>
    <w:p w14:paraId="4EB0D165" w14:textId="2DD336A1" w:rsidR="001F2450" w:rsidRPr="00C43543" w:rsidRDefault="00C8712E" w:rsidP="001F2450">
      <w:pPr>
        <w:pStyle w:val="Heading1"/>
        <w:rPr>
          <w:rFonts w:ascii="Adobe Garamond Pro" w:hAnsi="Adobe Garamond Pro"/>
          <w:b w:val="0"/>
          <w:bCs w:val="0"/>
          <w:noProof/>
          <w14:ligatures w14:val="standardContextual"/>
        </w:rPr>
      </w:pPr>
      <w:bookmarkStart w:id="11" w:name="_Toc105595230"/>
      <w:bookmarkStart w:id="12" w:name="_Toc109728313"/>
      <w:r w:rsidRPr="00C43543">
        <w:rPr>
          <w:rFonts w:ascii="Adobe Garamond Pro" w:hAnsi="Adobe Garamond Pro"/>
          <w14:ligatures w14:val="standardContextual"/>
        </w:rPr>
        <w:lastRenderedPageBreak/>
        <w:t>Table of contents</w:t>
      </w:r>
      <w:bookmarkEnd w:id="11"/>
      <w:bookmarkEnd w:id="12"/>
      <w:r w:rsidR="001F2450" w:rsidRPr="00C43543">
        <w:rPr>
          <w:rFonts w:ascii="Adobe Garamond Pro" w:hAnsi="Adobe Garamond Pro"/>
          <w:b w:val="0"/>
          <w:bCs w:val="0"/>
          <w14:ligatures w14:val="standardContextual"/>
        </w:rPr>
        <w:fldChar w:fldCharType="begin"/>
      </w:r>
      <w:r w:rsidR="001F2450" w:rsidRPr="00C43543">
        <w:rPr>
          <w:rFonts w:ascii="Adobe Garamond Pro" w:hAnsi="Adobe Garamond Pro"/>
          <w:b w:val="0"/>
          <w:bCs w:val="0"/>
          <w14:ligatures w14:val="standardContextual"/>
        </w:rPr>
        <w:instrText xml:space="preserve"> TOC \o "1-5" \u </w:instrText>
      </w:r>
      <w:r w:rsidR="001F2450" w:rsidRPr="00C43543">
        <w:rPr>
          <w:rFonts w:ascii="Adobe Garamond Pro" w:hAnsi="Adobe Garamond Pro"/>
          <w:b w:val="0"/>
          <w:bCs w:val="0"/>
          <w14:ligatures w14:val="standardContextual"/>
        </w:rPr>
        <w:fldChar w:fldCharType="separate"/>
      </w:r>
    </w:p>
    <w:p w14:paraId="705DFD89" w14:textId="2FEDDA08" w:rsidR="001F2450" w:rsidRPr="00C43543" w:rsidRDefault="001F2450" w:rsidP="00D50540">
      <w:pPr>
        <w:pStyle w:val="TOC1"/>
        <w:tabs>
          <w:tab w:val="right" w:leader="dot" w:pos="7190"/>
        </w:tabs>
        <w:spacing w:before="0" w:after="160"/>
        <w:rPr>
          <w:rFonts w:ascii="Adobe Garamond Pro" w:eastAsiaTheme="minorEastAsia" w:hAnsi="Adobe Garamond Pro" w:cstheme="minorBidi"/>
          <w:b w:val="0"/>
          <w:bCs w:val="0"/>
          <w:noProof/>
          <w:kern w:val="0"/>
          <w:sz w:val="28"/>
          <w:szCs w:val="28"/>
          <w14:ligatures w14:val="standardContextual"/>
          <w14:cntxtAlts w14:val="0"/>
        </w:rPr>
      </w:pPr>
      <w:r w:rsidRPr="00C43543">
        <w:rPr>
          <w:rFonts w:ascii="Adobe Garamond Pro" w:hAnsi="Adobe Garamond Pro"/>
          <w:b w:val="0"/>
          <w:bCs w:val="0"/>
          <w:noProof/>
          <w:sz w:val="28"/>
          <w:szCs w:val="28"/>
          <w14:ligatures w14:val="standardContextual"/>
        </w:rPr>
        <w:t>Table of authorities</w:t>
      </w:r>
      <w:r w:rsidRPr="00C43543">
        <w:rPr>
          <w:rFonts w:ascii="Adobe Garamond Pro" w:hAnsi="Adobe Garamond Pro"/>
          <w:b w:val="0"/>
          <w:bCs w:val="0"/>
          <w:noProof/>
          <w:sz w:val="28"/>
          <w:szCs w:val="28"/>
          <w14:ligatures w14:val="standardContextual"/>
        </w:rPr>
        <w:tab/>
      </w:r>
      <w:r w:rsidRPr="00C43543">
        <w:rPr>
          <w:rFonts w:ascii="Adobe Garamond Pro" w:hAnsi="Adobe Garamond Pro"/>
          <w:b w:val="0"/>
          <w:bCs w:val="0"/>
          <w:noProof/>
          <w:sz w:val="28"/>
          <w:szCs w:val="28"/>
          <w14:ligatures w14:val="standardContextual"/>
        </w:rPr>
        <w:fldChar w:fldCharType="begin"/>
      </w:r>
      <w:r w:rsidRPr="00C43543">
        <w:rPr>
          <w:rFonts w:ascii="Adobe Garamond Pro" w:hAnsi="Adobe Garamond Pro"/>
          <w:b w:val="0"/>
          <w:bCs w:val="0"/>
          <w:noProof/>
          <w:sz w:val="28"/>
          <w:szCs w:val="28"/>
          <w14:ligatures w14:val="standardContextual"/>
        </w:rPr>
        <w:instrText xml:space="preserve"> PAGEREF _Toc109728314 \h </w:instrText>
      </w:r>
      <w:r w:rsidRPr="00C43543">
        <w:rPr>
          <w:rFonts w:ascii="Adobe Garamond Pro" w:hAnsi="Adobe Garamond Pro"/>
          <w:b w:val="0"/>
          <w:bCs w:val="0"/>
          <w:noProof/>
          <w:sz w:val="28"/>
          <w:szCs w:val="28"/>
          <w14:ligatures w14:val="standardContextual"/>
        </w:rPr>
      </w:r>
      <w:r w:rsidRPr="00C43543">
        <w:rPr>
          <w:rFonts w:ascii="Adobe Garamond Pro" w:hAnsi="Adobe Garamond Pro"/>
          <w:b w:val="0"/>
          <w:bCs w:val="0"/>
          <w:noProof/>
          <w:sz w:val="28"/>
          <w:szCs w:val="28"/>
          <w14:ligatures w14:val="standardContextual"/>
        </w:rPr>
        <w:fldChar w:fldCharType="separate"/>
      </w:r>
      <w:r w:rsidR="00C61A4A">
        <w:rPr>
          <w:rFonts w:ascii="Adobe Garamond Pro" w:hAnsi="Adobe Garamond Pro"/>
          <w:b w:val="0"/>
          <w:bCs w:val="0"/>
          <w:noProof/>
          <w:sz w:val="28"/>
          <w:szCs w:val="28"/>
          <w14:ligatures w14:val="standardContextual"/>
        </w:rPr>
        <w:t>vi</w:t>
      </w:r>
      <w:r w:rsidRPr="00C43543">
        <w:rPr>
          <w:rFonts w:ascii="Adobe Garamond Pro" w:hAnsi="Adobe Garamond Pro"/>
          <w:b w:val="0"/>
          <w:bCs w:val="0"/>
          <w:noProof/>
          <w:sz w:val="28"/>
          <w:szCs w:val="28"/>
          <w14:ligatures w14:val="standardContextual"/>
        </w:rPr>
        <w:fldChar w:fldCharType="end"/>
      </w:r>
    </w:p>
    <w:p w14:paraId="60D4558C" w14:textId="1BCF50AE" w:rsidR="001F2450" w:rsidRPr="00C43543" w:rsidRDefault="001F2450" w:rsidP="00D50540">
      <w:pPr>
        <w:pStyle w:val="TOC1"/>
        <w:tabs>
          <w:tab w:val="right" w:leader="dot" w:pos="7190"/>
        </w:tabs>
        <w:spacing w:before="0" w:after="160"/>
        <w:rPr>
          <w:rFonts w:ascii="Adobe Garamond Pro" w:eastAsiaTheme="minorEastAsia" w:hAnsi="Adobe Garamond Pro" w:cstheme="minorBidi"/>
          <w:b w:val="0"/>
          <w:bCs w:val="0"/>
          <w:noProof/>
          <w:kern w:val="0"/>
          <w:sz w:val="28"/>
          <w:szCs w:val="28"/>
          <w14:ligatures w14:val="standardContextual"/>
          <w14:cntxtAlts w14:val="0"/>
        </w:rPr>
      </w:pPr>
      <w:r w:rsidRPr="00C43543">
        <w:rPr>
          <w:rFonts w:ascii="Adobe Garamond Pro" w:hAnsi="Adobe Garamond Pro"/>
          <w:b w:val="0"/>
          <w:bCs w:val="0"/>
          <w:noProof/>
          <w:sz w:val="28"/>
          <w:szCs w:val="28"/>
          <w14:ligatures w14:val="standardContextual"/>
        </w:rPr>
        <w:t>Introduction and summary</w:t>
      </w:r>
      <w:r w:rsidRPr="00C43543">
        <w:rPr>
          <w:rFonts w:ascii="Adobe Garamond Pro" w:hAnsi="Adobe Garamond Pro"/>
          <w:b w:val="0"/>
          <w:bCs w:val="0"/>
          <w:noProof/>
          <w:sz w:val="28"/>
          <w:szCs w:val="28"/>
          <w14:ligatures w14:val="standardContextual"/>
        </w:rPr>
        <w:tab/>
      </w:r>
      <w:r w:rsidR="00D63F84" w:rsidRPr="00C43543">
        <w:rPr>
          <w:rFonts w:ascii="Adobe Garamond Pro" w:hAnsi="Adobe Garamond Pro"/>
          <w:b w:val="0"/>
          <w:bCs w:val="0"/>
          <w:noProof/>
          <w:sz w:val="28"/>
          <w:szCs w:val="28"/>
          <w14:ligatures w14:val="standardContextual"/>
        </w:rPr>
        <w:t>1</w:t>
      </w:r>
    </w:p>
    <w:p w14:paraId="4CE2C189" w14:textId="6391E0D4" w:rsidR="001F2450" w:rsidRPr="00C43543" w:rsidRDefault="001F2450" w:rsidP="00D50540">
      <w:pPr>
        <w:pStyle w:val="TOC1"/>
        <w:tabs>
          <w:tab w:val="right" w:leader="dot" w:pos="7190"/>
        </w:tabs>
        <w:spacing w:before="0" w:after="160"/>
        <w:rPr>
          <w:rFonts w:ascii="Adobe Garamond Pro" w:eastAsiaTheme="minorEastAsia" w:hAnsi="Adobe Garamond Pro" w:cstheme="minorBidi"/>
          <w:b w:val="0"/>
          <w:bCs w:val="0"/>
          <w:noProof/>
          <w:kern w:val="0"/>
          <w:sz w:val="28"/>
          <w:szCs w:val="28"/>
          <w14:ligatures w14:val="standardContextual"/>
          <w14:cntxtAlts w14:val="0"/>
        </w:rPr>
      </w:pPr>
      <w:r w:rsidRPr="00C43543">
        <w:rPr>
          <w:rFonts w:ascii="Adobe Garamond Pro" w:hAnsi="Adobe Garamond Pro"/>
          <w:b w:val="0"/>
          <w:bCs w:val="0"/>
          <w:noProof/>
          <w:sz w:val="28"/>
          <w:szCs w:val="28"/>
          <w14:ligatures w14:val="standardContextual"/>
        </w:rPr>
        <w:t>Statement of the case</w:t>
      </w:r>
      <w:r w:rsidRPr="00C43543">
        <w:rPr>
          <w:rFonts w:ascii="Adobe Garamond Pro" w:hAnsi="Adobe Garamond Pro"/>
          <w:b w:val="0"/>
          <w:bCs w:val="0"/>
          <w:noProof/>
          <w:sz w:val="28"/>
          <w:szCs w:val="28"/>
          <w14:ligatures w14:val="standardContextual"/>
        </w:rPr>
        <w:tab/>
      </w:r>
      <w:r w:rsidR="008B14A7" w:rsidRPr="00C43543">
        <w:rPr>
          <w:rFonts w:ascii="Adobe Garamond Pro" w:hAnsi="Adobe Garamond Pro"/>
          <w:b w:val="0"/>
          <w:bCs w:val="0"/>
          <w:noProof/>
          <w:sz w:val="28"/>
          <w:szCs w:val="28"/>
          <w14:ligatures w14:val="standardContextual"/>
        </w:rPr>
        <w:t>5</w:t>
      </w:r>
    </w:p>
    <w:p w14:paraId="32279144" w14:textId="1A3E638B" w:rsidR="001F2450" w:rsidRPr="00C43543" w:rsidRDefault="001F2450" w:rsidP="00D50540">
      <w:pPr>
        <w:pStyle w:val="TOC3"/>
        <w:tabs>
          <w:tab w:val="left" w:pos="1120"/>
          <w:tab w:val="right" w:leader="dot" w:pos="7200"/>
        </w:tabs>
        <w:spacing w:after="160"/>
        <w:ind w:left="540" w:right="45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Monsanto promotes and sells PCBs for 40 years despite knowing that they pose serious dangers to humans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5</w:t>
      </w:r>
    </w:p>
    <w:p w14:paraId="32FCB825" w14:textId="7903D68A"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1.</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We know Aroclors are toxic</w:t>
      </w:r>
      <w:r w:rsidRPr="00C43543">
        <w:rPr>
          <w:rFonts w:ascii="Adobe Garamond Pro" w:hAnsi="Adobe Garamond Pro"/>
          <w:noProof/>
          <w:sz w:val="28"/>
          <w:szCs w:val="28"/>
          <w14:ligatures w14:val="standardContextual"/>
        </w:rPr>
        <w:t>”: In 1955, Monsanto’s St. Louis headquarters rebuffs a “very anxious” request from its own scientists to test PCBs’ toxicity</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5</w:t>
      </w:r>
    </w:p>
    <w:p w14:paraId="24312023" w14:textId="7598DA1D"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2.</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Just too toxic for use</w:t>
      </w:r>
      <w:r w:rsidRPr="00C43543">
        <w:rPr>
          <w:rFonts w:ascii="Adobe Garamond Pro" w:hAnsi="Adobe Garamond Pro"/>
          <w:noProof/>
          <w:sz w:val="28"/>
          <w:szCs w:val="28"/>
          <w14:ligatures w14:val="standardContextual"/>
        </w:rPr>
        <w:t>”: The U.S. Navy refuses to buy PCBs in 1957 because of the risks from inhalation</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8</w:t>
      </w:r>
    </w:p>
    <w:p w14:paraId="0BAA9724" w14:textId="53A152B1"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3.</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Singularly free of difficulties</w:t>
      </w:r>
      <w:r w:rsidRPr="00C43543">
        <w:rPr>
          <w:rFonts w:ascii="Adobe Garamond Pro" w:hAnsi="Adobe Garamond Pro"/>
          <w:noProof/>
          <w:sz w:val="28"/>
          <w:szCs w:val="28"/>
          <w14:ligatures w14:val="standardContextual"/>
        </w:rPr>
        <w:t>”: Monsanto misrepresents PCBs’ dangers to customers and regulators throughout the 1950s and 60s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9</w:t>
      </w:r>
    </w:p>
    <w:p w14:paraId="2A74EAF0" w14:textId="4B6B0E82"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4.</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The consensus in St. Louis</w:t>
      </w:r>
      <w:r w:rsidRPr="00C43543">
        <w:rPr>
          <w:rFonts w:ascii="Adobe Garamond Pro" w:hAnsi="Adobe Garamond Pro"/>
          <w:noProof/>
          <w:sz w:val="28"/>
          <w:szCs w:val="28"/>
          <w14:ligatures w14:val="standardContextual"/>
        </w:rPr>
        <w:t>”: Monsanto becomes “very worried” about public scrutiny of PCBs after Swedish scientists publish new toxicity findings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12</w:t>
      </w:r>
    </w:p>
    <w:p w14:paraId="6265CF21" w14:textId="26ACABE8"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5.</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Sell the hell out of them as long as we can</w:t>
      </w:r>
      <w:r w:rsidRPr="00C43543">
        <w:rPr>
          <w:rFonts w:ascii="Adobe Garamond Pro" w:hAnsi="Adobe Garamond Pro"/>
          <w:noProof/>
          <w:sz w:val="28"/>
          <w:szCs w:val="28"/>
          <w14:ligatures w14:val="standardContextual"/>
        </w:rPr>
        <w:t xml:space="preserve">”: As the PCB crisis </w:t>
      </w:r>
      <w:r w:rsidR="003B6E73" w:rsidRPr="00C43543">
        <w:rPr>
          <w:rFonts w:ascii="Adobe Garamond Pro" w:hAnsi="Adobe Garamond Pro"/>
          <w:noProof/>
          <w:sz w:val="28"/>
          <w:szCs w:val="28"/>
          <w14:ligatures w14:val="standardContextual"/>
        </w:rPr>
        <w:t>begins</w:t>
      </w:r>
      <w:r w:rsidRPr="00C43543">
        <w:rPr>
          <w:rFonts w:ascii="Adobe Garamond Pro" w:hAnsi="Adobe Garamond Pro"/>
          <w:noProof/>
          <w:sz w:val="28"/>
          <w:szCs w:val="28"/>
          <w14:ligatures w14:val="standardContextual"/>
        </w:rPr>
        <w:t xml:space="preserve"> “snowballing,” Monsanto creates a special committee to protect its PCB business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13</w:t>
      </w:r>
    </w:p>
    <w:p w14:paraId="76C80BF0" w14:textId="68AEEC2F"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6.</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Selfishly too much Monsanto profit to go out</w:t>
      </w:r>
      <w:r w:rsidRPr="00C43543">
        <w:rPr>
          <w:rFonts w:ascii="Adobe Garamond Pro" w:hAnsi="Adobe Garamond Pro"/>
          <w:noProof/>
          <w:sz w:val="28"/>
          <w:szCs w:val="28"/>
          <w14:ligatures w14:val="standardContextual"/>
        </w:rPr>
        <w:t>”: Monsanto fights to continue PCB sales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15</w:t>
      </w:r>
    </w:p>
    <w:p w14:paraId="737EE60D" w14:textId="568468E0"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7.</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Call back all those reports and burn them</w:t>
      </w:r>
      <w:r w:rsidRPr="00C43543">
        <w:rPr>
          <w:rFonts w:ascii="Adobe Garamond Pro" w:hAnsi="Adobe Garamond Pro"/>
          <w:noProof/>
          <w:sz w:val="28"/>
          <w:szCs w:val="28"/>
          <w14:ligatures w14:val="standardContextual"/>
        </w:rPr>
        <w:t>”: Monsanto orders the destruction of documents related to PCBs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16</w:t>
      </w:r>
    </w:p>
    <w:p w14:paraId="664C8844" w14:textId="5F727C55"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lastRenderedPageBreak/>
        <w:t>8.</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We can’t afford to lose one dollar of business</w:t>
      </w:r>
      <w:r w:rsidRPr="00C43543">
        <w:rPr>
          <w:rFonts w:ascii="Adobe Garamond Pro" w:hAnsi="Adobe Garamond Pro"/>
          <w:noProof/>
          <w:sz w:val="28"/>
          <w:szCs w:val="28"/>
          <w14:ligatures w14:val="standardContextual"/>
        </w:rPr>
        <w:t>”: Monsanto urges its sales force to “take the offense” and increase PCB sales in 1970</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17</w:t>
      </w:r>
    </w:p>
    <w:p w14:paraId="2114892C" w14:textId="0B98DB39"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9.</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An embarrassing fact</w:t>
      </w:r>
      <w:r w:rsidRPr="00C43543">
        <w:rPr>
          <w:rFonts w:ascii="Adobe Garamond Pro" w:hAnsi="Adobe Garamond Pro"/>
          <w:noProof/>
          <w:sz w:val="28"/>
          <w:szCs w:val="28"/>
          <w14:ligatures w14:val="standardContextual"/>
        </w:rPr>
        <w:t>”: Monsanto exaggerates the benefits of PCBs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19</w:t>
      </w:r>
    </w:p>
    <w:p w14:paraId="2BDF291D" w14:textId="08E72307"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10.</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A cancer-causing agent over their heads</w:t>
      </w:r>
      <w:r w:rsidRPr="00C43543">
        <w:rPr>
          <w:rFonts w:ascii="Adobe Garamond Pro" w:hAnsi="Adobe Garamond Pro"/>
          <w:noProof/>
          <w:sz w:val="28"/>
          <w:szCs w:val="28"/>
          <w14:ligatures w14:val="standardContextual"/>
        </w:rPr>
        <w:t>”: Monsanto continues to publicly deny PCBs’ health risks even after they are banned globally</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21</w:t>
      </w:r>
    </w:p>
    <w:p w14:paraId="2B3905FE" w14:textId="6546903C" w:rsidR="001F2450" w:rsidRPr="00C43543" w:rsidRDefault="001F2450" w:rsidP="00D50540">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11.</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i/>
          <w:iCs/>
          <w:noProof/>
          <w:sz w:val="28"/>
          <w:szCs w:val="28"/>
          <w14:ligatures w14:val="standardContextual"/>
        </w:rPr>
        <w:t xml:space="preserve">Monsanto’s </w:t>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sleeper issue</w:t>
      </w:r>
      <w:r w:rsidRPr="00C43543">
        <w:rPr>
          <w:rFonts w:ascii="Adobe Garamond Pro" w:hAnsi="Adobe Garamond Pro"/>
          <w:noProof/>
          <w:sz w:val="28"/>
          <w:szCs w:val="28"/>
          <w14:ligatures w14:val="standardContextual"/>
        </w:rPr>
        <w:t>”: PCB contamination in schools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24</w:t>
      </w:r>
    </w:p>
    <w:p w14:paraId="45A7AD8D" w14:textId="69590AFE" w:rsidR="001F2450" w:rsidRPr="00C43543" w:rsidRDefault="001F2450" w:rsidP="00D50540">
      <w:pPr>
        <w:pStyle w:val="TOC3"/>
        <w:tabs>
          <w:tab w:val="left" w:pos="1120"/>
          <w:tab w:val="right" w:leader="dot" w:pos="7200"/>
        </w:tabs>
        <w:spacing w:after="160"/>
        <w:ind w:left="540" w:right="72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teachers, staff, and students at Sky Valley Education Center are exposed to dangerous levels of PCBs, and the plaintiffs suffer permanent brain damage as a result of that sustained exposure</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26</w:t>
      </w:r>
    </w:p>
    <w:p w14:paraId="4CB9D09D" w14:textId="4668CC51" w:rsidR="001F2450" w:rsidRPr="00C43543" w:rsidRDefault="001F2450" w:rsidP="00C43543">
      <w:pPr>
        <w:pStyle w:val="TOC3"/>
        <w:tabs>
          <w:tab w:val="left" w:pos="1120"/>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1.</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Smokey events</w:t>
      </w:r>
      <w:r w:rsidRPr="00C43543">
        <w:rPr>
          <w:rFonts w:ascii="Adobe Garamond Pro" w:hAnsi="Adobe Garamond Pro"/>
          <w:noProof/>
          <w:sz w:val="28"/>
          <w:szCs w:val="28"/>
          <w14:ligatures w14:val="standardContextual"/>
        </w:rPr>
        <w:t xml:space="preserve">” </w:t>
      </w:r>
      <w:r w:rsidRPr="00C43543">
        <w:rPr>
          <w:rFonts w:ascii="Adobe Garamond Pro" w:hAnsi="Adobe Garamond Pro"/>
          <w:i/>
          <w:iCs/>
          <w:noProof/>
          <w:sz w:val="28"/>
          <w:szCs w:val="28"/>
          <w14:ligatures w14:val="standardContextual"/>
        </w:rPr>
        <w:t>and</w:t>
      </w:r>
      <w:r w:rsidRPr="00C43543">
        <w:rPr>
          <w:rFonts w:ascii="Adobe Garamond Pro" w:hAnsi="Adobe Garamond Pro"/>
          <w:noProof/>
          <w:sz w:val="28"/>
          <w:szCs w:val="28"/>
          <w14:ligatures w14:val="standardContextual"/>
        </w:rPr>
        <w:t xml:space="preserve"> “</w:t>
      </w:r>
      <w:r w:rsidRPr="00C43543">
        <w:rPr>
          <w:rFonts w:ascii="Adobe Garamond Pro" w:hAnsi="Adobe Garamond Pro"/>
          <w:i/>
          <w:iCs/>
          <w:noProof/>
          <w:sz w:val="28"/>
          <w:szCs w:val="28"/>
          <w14:ligatures w14:val="standardContextual"/>
        </w:rPr>
        <w:t>brown, oily liquid</w:t>
      </w:r>
      <w:r w:rsidRPr="00C43543">
        <w:rPr>
          <w:rFonts w:ascii="Adobe Garamond Pro" w:hAnsi="Adobe Garamond Pro"/>
          <w:noProof/>
          <w:sz w:val="28"/>
          <w:szCs w:val="28"/>
          <w14:ligatures w14:val="standardContextual"/>
        </w:rPr>
        <w:t>”: For years, fluorescent light ballasts at the school emit and leak particularly volatile forms of PCBs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27</w:t>
      </w:r>
    </w:p>
    <w:p w14:paraId="0F850170" w14:textId="2EC9E664" w:rsidR="001F2450" w:rsidRPr="00C43543" w:rsidRDefault="001F2450" w:rsidP="00D50540">
      <w:pPr>
        <w:pStyle w:val="TOC3"/>
        <w:tabs>
          <w:tab w:val="left" w:pos="1120"/>
          <w:tab w:val="right" w:leader="dot" w:pos="7200"/>
        </w:tabs>
        <w:spacing w:after="160"/>
        <w:ind w:left="1080" w:right="90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2.</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A single drop</w:t>
      </w:r>
      <w:r w:rsidRPr="00C43543">
        <w:rPr>
          <w:rFonts w:ascii="Adobe Garamond Pro" w:hAnsi="Adobe Garamond Pro"/>
          <w:noProof/>
          <w:sz w:val="28"/>
          <w:szCs w:val="28"/>
          <w14:ligatures w14:val="standardContextual"/>
        </w:rPr>
        <w:t>”: The teachers’ exposure to PCBs significantly exceeds safe limits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29</w:t>
      </w:r>
    </w:p>
    <w:p w14:paraId="7C94D676" w14:textId="7AE26035" w:rsidR="001F2450" w:rsidRPr="00C43543" w:rsidRDefault="001F2450" w:rsidP="00D50540">
      <w:pPr>
        <w:pStyle w:val="TOC3"/>
        <w:tabs>
          <w:tab w:val="left" w:pos="1120"/>
          <w:tab w:val="right" w:leader="dot" w:pos="7200"/>
        </w:tabs>
        <w:spacing w:after="160"/>
        <w:ind w:left="1080" w:right="90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3.</w:t>
      </w:r>
      <w:r w:rsidRPr="00C43543">
        <w:rPr>
          <w:rFonts w:ascii="Adobe Garamond Pro" w:eastAsiaTheme="minorEastAsia" w:hAnsi="Adobe Garamond Pro" w:cstheme="minorBidi"/>
          <w:noProof/>
          <w:kern w:val="0"/>
          <w:sz w:val="28"/>
          <w:szCs w:val="28"/>
          <w14:ligatures w14:val="standardContextual"/>
          <w14:cntxtAlts w14:val="0"/>
        </w:rPr>
        <w:tab/>
      </w:r>
      <w:r w:rsidRPr="00B77C9D">
        <w:rPr>
          <w:rFonts w:ascii="Adobe Garamond Pro" w:hAnsi="Adobe Garamond Pro"/>
          <w:i/>
          <w:iCs/>
          <w:noProof/>
          <w:sz w:val="28"/>
          <w:szCs w:val="28"/>
          <w14:ligatures w14:val="standardContextual"/>
        </w:rPr>
        <w:t>An</w:t>
      </w:r>
      <w:r w:rsidRPr="00C43543">
        <w:rPr>
          <w:rFonts w:ascii="Adobe Garamond Pro" w:hAnsi="Adobe Garamond Pro"/>
          <w:noProof/>
          <w:sz w:val="28"/>
          <w:szCs w:val="28"/>
          <w14:ligatures w14:val="standardContextual"/>
        </w:rPr>
        <w:t xml:space="preserve"> “</w:t>
      </w:r>
      <w:r w:rsidRPr="00C43543">
        <w:rPr>
          <w:rFonts w:ascii="Adobe Garamond Pro" w:hAnsi="Adobe Garamond Pro"/>
          <w:i/>
          <w:iCs/>
          <w:noProof/>
          <w:sz w:val="28"/>
          <w:szCs w:val="28"/>
          <w14:ligatures w14:val="standardContextual"/>
        </w:rPr>
        <w:t>explosion of symptoms</w:t>
      </w:r>
      <w:r w:rsidRPr="00C43543">
        <w:rPr>
          <w:rFonts w:ascii="Adobe Garamond Pro" w:hAnsi="Adobe Garamond Pro"/>
          <w:noProof/>
          <w:sz w:val="28"/>
          <w:szCs w:val="28"/>
          <w14:ligatures w14:val="standardContextual"/>
        </w:rPr>
        <w:t>”: Because of their exposure to lower-chlorinated PCBs at the school, the teachers suffer brain injuries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31</w:t>
      </w:r>
    </w:p>
    <w:p w14:paraId="74F47695" w14:textId="54D9EA39" w:rsidR="001F2450" w:rsidRPr="00C43543" w:rsidRDefault="001F2450" w:rsidP="00D50540">
      <w:pPr>
        <w:pStyle w:val="TOC3"/>
        <w:tabs>
          <w:tab w:val="left" w:pos="1120"/>
          <w:tab w:val="right" w:leader="dot" w:pos="7200"/>
        </w:tabs>
        <w:spacing w:after="160"/>
        <w:ind w:left="1080" w:right="90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4.</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Not a single shred of evidence</w:t>
      </w:r>
      <w:r w:rsidRPr="00C43543">
        <w:rPr>
          <w:rFonts w:ascii="Adobe Garamond Pro" w:hAnsi="Adobe Garamond Pro"/>
          <w:noProof/>
          <w:sz w:val="28"/>
          <w:szCs w:val="28"/>
          <w14:ligatures w14:val="standardContextual"/>
        </w:rPr>
        <w:t>”: Testing rules out all other potential causes of the teachers’ injuries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34</w:t>
      </w:r>
    </w:p>
    <w:p w14:paraId="61762CEF" w14:textId="620B2DE6" w:rsidR="001F2450" w:rsidRPr="00C43543" w:rsidRDefault="001F2450" w:rsidP="00D50540">
      <w:pPr>
        <w:pStyle w:val="TOC3"/>
        <w:tabs>
          <w:tab w:val="left" w:pos="1120"/>
          <w:tab w:val="right" w:leader="dot" w:pos="7200"/>
        </w:tabs>
        <w:spacing w:after="160"/>
        <w:ind w:left="1080" w:right="90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5.</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t>
      </w:r>
      <w:r w:rsidRPr="00C43543">
        <w:rPr>
          <w:rFonts w:ascii="Adobe Garamond Pro" w:hAnsi="Adobe Garamond Pro"/>
          <w:i/>
          <w:iCs/>
          <w:noProof/>
          <w:sz w:val="28"/>
          <w:szCs w:val="28"/>
          <w14:ligatures w14:val="standardContextual"/>
        </w:rPr>
        <w:t>An irreversible event</w:t>
      </w:r>
      <w:r w:rsidRPr="00C43543">
        <w:rPr>
          <w:rFonts w:ascii="Adobe Garamond Pro" w:hAnsi="Adobe Garamond Pro"/>
          <w:noProof/>
          <w:sz w:val="28"/>
          <w:szCs w:val="28"/>
          <w14:ligatures w14:val="standardContextual"/>
        </w:rPr>
        <w:t>”: The teachers’ permanent brain damage has caused them serious and ongoing harm</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36</w:t>
      </w:r>
    </w:p>
    <w:p w14:paraId="0DA6C1F1" w14:textId="04D4FF9A" w:rsidR="001F2450" w:rsidRPr="00C43543" w:rsidRDefault="001F2450" w:rsidP="00D50540">
      <w:pPr>
        <w:pStyle w:val="TOC3"/>
        <w:tabs>
          <w:tab w:val="left" w:pos="1120"/>
          <w:tab w:val="right" w:leader="dot" w:pos="7200"/>
        </w:tabs>
        <w:spacing w:after="160"/>
        <w:ind w:left="54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C.</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 xml:space="preserve">The teachers file this lawsuit and—following extensive discovery, over a hundred depositions, 115 pretrial </w:t>
      </w:r>
      <w:r w:rsidRPr="00C43543">
        <w:rPr>
          <w:rFonts w:ascii="Adobe Garamond Pro" w:hAnsi="Adobe Garamond Pro"/>
          <w:noProof/>
          <w:sz w:val="28"/>
          <w:szCs w:val="28"/>
          <w14:ligatures w14:val="standardContextual"/>
        </w:rPr>
        <w:lastRenderedPageBreak/>
        <w:t>motions, and a seven-week trial—a jury returns a verdict in their favor</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37</w:t>
      </w:r>
    </w:p>
    <w:p w14:paraId="516AEA5B" w14:textId="349D34E3" w:rsidR="001F2450" w:rsidRPr="00C43543" w:rsidRDefault="001F2450" w:rsidP="00D50540">
      <w:pPr>
        <w:pStyle w:val="TOC1"/>
        <w:tabs>
          <w:tab w:val="right" w:leader="dot" w:pos="7190"/>
        </w:tabs>
        <w:spacing w:before="0" w:after="160"/>
        <w:rPr>
          <w:rFonts w:ascii="Adobe Garamond Pro" w:eastAsiaTheme="minorEastAsia" w:hAnsi="Adobe Garamond Pro" w:cstheme="minorBidi"/>
          <w:b w:val="0"/>
          <w:bCs w:val="0"/>
          <w:noProof/>
          <w:kern w:val="0"/>
          <w:sz w:val="28"/>
          <w:szCs w:val="28"/>
          <w14:ligatures w14:val="standardContextual"/>
          <w14:cntxtAlts w14:val="0"/>
        </w:rPr>
      </w:pPr>
      <w:r w:rsidRPr="00C43543">
        <w:rPr>
          <w:rFonts w:ascii="Adobe Garamond Pro" w:hAnsi="Adobe Garamond Pro"/>
          <w:b w:val="0"/>
          <w:bCs w:val="0"/>
          <w:noProof/>
          <w:sz w:val="28"/>
          <w:szCs w:val="28"/>
          <w14:ligatures w14:val="standardContextual"/>
        </w:rPr>
        <w:t>A</w:t>
      </w:r>
      <w:r w:rsidR="002A7F2F" w:rsidRPr="00C43543">
        <w:rPr>
          <w:rFonts w:ascii="Adobe Garamond Pro" w:hAnsi="Adobe Garamond Pro"/>
          <w:b w:val="0"/>
          <w:bCs w:val="0"/>
          <w:noProof/>
          <w:sz w:val="28"/>
          <w:szCs w:val="28"/>
          <w14:ligatures w14:val="standardContextual"/>
        </w:rPr>
        <w:t>rgument</w:t>
      </w:r>
      <w:r w:rsidRPr="00C43543">
        <w:rPr>
          <w:rFonts w:ascii="Adobe Garamond Pro" w:hAnsi="Adobe Garamond Pro"/>
          <w:b w:val="0"/>
          <w:bCs w:val="0"/>
          <w:noProof/>
          <w:sz w:val="28"/>
          <w:szCs w:val="28"/>
          <w14:ligatures w14:val="standardContextual"/>
        </w:rPr>
        <w:tab/>
      </w:r>
      <w:r w:rsidR="008B14A7" w:rsidRPr="00C43543">
        <w:rPr>
          <w:rFonts w:ascii="Adobe Garamond Pro" w:hAnsi="Adobe Garamond Pro"/>
          <w:b w:val="0"/>
          <w:bCs w:val="0"/>
          <w:noProof/>
          <w:sz w:val="28"/>
          <w:szCs w:val="28"/>
          <w14:ligatures w14:val="standardContextual"/>
        </w:rPr>
        <w:t>40</w:t>
      </w:r>
    </w:p>
    <w:p w14:paraId="0DAD7A8E" w14:textId="0CDE8E0B" w:rsidR="001F2450" w:rsidRPr="00C43543" w:rsidRDefault="001F2450" w:rsidP="00D50540">
      <w:pPr>
        <w:pStyle w:val="TOC2"/>
        <w:tabs>
          <w:tab w:val="right" w:leader="dot" w:pos="7200"/>
        </w:tabs>
        <w:spacing w:before="0" w:after="160"/>
        <w:ind w:left="540" w:right="72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I.</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The trial court’s decision to apply Missouri law correctly followed half a century of Washington choice-of-law precedent mandating application of the most interested state’s law to each issue in the case</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40</w:t>
      </w:r>
    </w:p>
    <w:p w14:paraId="534356BA" w14:textId="42B78026" w:rsidR="001F2450" w:rsidRPr="00C43543" w:rsidRDefault="001F2450" w:rsidP="00D50540">
      <w:pPr>
        <w:pStyle w:val="TOC3"/>
        <w:tabs>
          <w:tab w:val="right" w:leader="dot" w:pos="7200"/>
        </w:tabs>
        <w:spacing w:after="160"/>
        <w:ind w:left="1080" w:right="72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Washington’s choice-of-law test requires issue-by-issue analysis of each state’s interests and policies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41</w:t>
      </w:r>
    </w:p>
    <w:p w14:paraId="5962FFCD" w14:textId="31BE87A2" w:rsidR="001F2450" w:rsidRPr="00C43543" w:rsidRDefault="001F2450" w:rsidP="00D50540">
      <w:pPr>
        <w:pStyle w:val="TOC3"/>
        <w:tabs>
          <w:tab w:val="left" w:pos="1120"/>
          <w:tab w:val="right" w:leader="dot" w:pos="7200"/>
        </w:tabs>
        <w:spacing w:after="160"/>
        <w:ind w:left="1080" w:right="72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Missouri law governs the period of repose</w:t>
      </w:r>
      <w:r w:rsidRPr="00C43543">
        <w:rPr>
          <w:rFonts w:ascii="Adobe Garamond Pro" w:hAnsi="Adobe Garamond Pro"/>
          <w:noProof/>
          <w:sz w:val="28"/>
          <w:szCs w:val="28"/>
          <w14:ligatures w14:val="standardContextual"/>
        </w:rPr>
        <w:tab/>
      </w:r>
      <w:r w:rsidR="008D74E4" w:rsidRPr="00C43543">
        <w:rPr>
          <w:rFonts w:ascii="Adobe Garamond Pro" w:hAnsi="Adobe Garamond Pro"/>
          <w:noProof/>
          <w:sz w:val="28"/>
          <w:szCs w:val="28"/>
          <w14:ligatures w14:val="standardContextual"/>
        </w:rPr>
        <w:t>44</w:t>
      </w:r>
    </w:p>
    <w:p w14:paraId="45FC3A55" w14:textId="693BDE8E" w:rsidR="001F2450" w:rsidRPr="00C43543" w:rsidRDefault="001F2450" w:rsidP="00D50540">
      <w:pPr>
        <w:pStyle w:val="TOC3"/>
        <w:tabs>
          <w:tab w:val="left" w:pos="1120"/>
          <w:tab w:val="right" w:leader="dot" w:pos="7200"/>
        </w:tabs>
        <w:spacing w:after="160"/>
        <w:ind w:left="1080" w:right="72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C.</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Missouri law also governs punitive damages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65</w:t>
      </w:r>
    </w:p>
    <w:p w14:paraId="7856A711" w14:textId="3443B19A" w:rsidR="001F2450" w:rsidRPr="00C43543" w:rsidRDefault="001F2450" w:rsidP="00D50540">
      <w:pPr>
        <w:pStyle w:val="TOC2"/>
        <w:tabs>
          <w:tab w:val="right" w:leader="dot" w:pos="7200"/>
        </w:tabs>
        <w:spacing w:before="0" w:after="160"/>
        <w:ind w:left="540" w:right="81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II.</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The trial court correctly declined to give Monsanto’s proposed “relevant product” and “sophisticated purchaser” instructions because neither finds support in the law or the record</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78</w:t>
      </w:r>
    </w:p>
    <w:p w14:paraId="2F542F5D" w14:textId="739BFFF6" w:rsidR="001F2450" w:rsidRPr="00C43543" w:rsidRDefault="001F2450" w:rsidP="00D50540">
      <w:pPr>
        <w:pStyle w:val="TOC3"/>
        <w:tabs>
          <w:tab w:val="right" w:leader="dot" w:pos="7200"/>
        </w:tabs>
        <w:spacing w:after="160"/>
        <w:ind w:left="1080" w:right="81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Monsanto’s argument that the “relevant product” must “fail” misapprehends the WPLA</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79</w:t>
      </w:r>
    </w:p>
    <w:p w14:paraId="4BA9C3BF" w14:textId="0A18C721" w:rsidR="001F2450" w:rsidRPr="00C43543" w:rsidRDefault="001F2450" w:rsidP="00D50540">
      <w:pPr>
        <w:pStyle w:val="TOC3"/>
        <w:tabs>
          <w:tab w:val="right" w:leader="dot" w:pos="7200"/>
        </w:tabs>
        <w:spacing w:after="160"/>
        <w:ind w:left="1080" w:right="81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trial court correctly rejected Monsanto’s proposed “sophisticated purchaser” instruction</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83</w:t>
      </w:r>
    </w:p>
    <w:p w14:paraId="15C38769" w14:textId="06E49445" w:rsidR="001F2450" w:rsidRPr="00C43543" w:rsidRDefault="001F2450" w:rsidP="00D50540">
      <w:pPr>
        <w:pStyle w:val="TOC2"/>
        <w:tabs>
          <w:tab w:val="left" w:pos="840"/>
          <w:tab w:val="right" w:leader="dot" w:pos="7200"/>
        </w:tabs>
        <w:spacing w:before="0" w:after="160"/>
        <w:ind w:left="540" w:right="81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III.</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The trial court properly admitted the expert testimony of Dr. James Dahlgren, Kevin Coghlan, and Dr. Richard Perrillo</w:t>
      </w:r>
      <w:r w:rsidR="001412EA">
        <w:rPr>
          <w:rFonts w:ascii="Adobe Garamond Pro" w:hAnsi="Adobe Garamond Pro"/>
          <w:i w:val="0"/>
          <w:iCs w:val="0"/>
          <w:noProof/>
          <w:sz w:val="28"/>
          <w:szCs w:val="28"/>
          <w14:ligatures w14:val="standardContextual"/>
        </w:rPr>
        <w:t xml:space="preserve"> </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92</w:t>
      </w:r>
    </w:p>
    <w:p w14:paraId="092E7ED2" w14:textId="01D5ECA8" w:rsidR="001F2450" w:rsidRPr="00C43543" w:rsidRDefault="001F2450" w:rsidP="00D50540">
      <w:pPr>
        <w:pStyle w:val="TOC3"/>
        <w:tabs>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Trial courts have “wide” discretion to admit expert testimony, and this Court reviews their admission decisions with significant deference</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94</w:t>
      </w:r>
    </w:p>
    <w:p w14:paraId="57C3F031" w14:textId="7EEDBF6E" w:rsidR="001F2450" w:rsidRPr="00C43543" w:rsidRDefault="001F2450" w:rsidP="00D50540">
      <w:pPr>
        <w:pStyle w:val="TOC3"/>
        <w:tabs>
          <w:tab w:val="right" w:leader="dot" w:pos="7200"/>
        </w:tabs>
        <w:spacing w:after="160"/>
        <w:ind w:left="1080" w:right="81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trial court did not abuse its discretion in admitting Dr. Dahlgren’s opinion that PCB exposure caused the plaintiffs’ brain damage</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96</w:t>
      </w:r>
    </w:p>
    <w:p w14:paraId="512B802B" w14:textId="0160F042" w:rsidR="001F2450" w:rsidRPr="00C43543" w:rsidRDefault="001F2450" w:rsidP="00D50540">
      <w:pPr>
        <w:pStyle w:val="TOC3"/>
        <w:tabs>
          <w:tab w:val="right" w:leader="dot" w:pos="7200"/>
        </w:tabs>
        <w:spacing w:after="160"/>
        <w:ind w:left="1080" w:right="63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lastRenderedPageBreak/>
        <w:t>C.</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trial court correctly admitted Coghlan’s opinion on the plaintiffs’ PCB exposure levels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D74E4" w:rsidRPr="00C43543">
        <w:rPr>
          <w:rFonts w:ascii="Adobe Garamond Pro" w:hAnsi="Adobe Garamond Pro"/>
          <w:noProof/>
          <w:sz w:val="28"/>
          <w:szCs w:val="28"/>
          <w14:ligatures w14:val="standardContextual"/>
        </w:rPr>
        <w:t>101</w:t>
      </w:r>
    </w:p>
    <w:p w14:paraId="24852125" w14:textId="5D50D750" w:rsidR="001F2450" w:rsidRPr="00C43543" w:rsidRDefault="001F2450" w:rsidP="00D50540">
      <w:pPr>
        <w:pStyle w:val="TOC3"/>
        <w:tabs>
          <w:tab w:val="right" w:leader="dot" w:pos="7200"/>
        </w:tabs>
        <w:spacing w:after="160"/>
        <w:ind w:left="1080" w:right="630" w:hanging="54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D.</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trial court did not abuse its discretion in admitting Dr. Perrillo’s opinions about the plaintiffs’ brain injuries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111</w:t>
      </w:r>
    </w:p>
    <w:p w14:paraId="4BA83319" w14:textId="127CEB05" w:rsidR="001F2450" w:rsidRPr="00C43543" w:rsidRDefault="001F2450" w:rsidP="00D50540">
      <w:pPr>
        <w:pStyle w:val="TOC2"/>
        <w:tabs>
          <w:tab w:val="right" w:leader="dot" w:pos="7200"/>
        </w:tabs>
        <w:spacing w:before="0" w:after="160"/>
        <w:ind w:left="540" w:right="72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IV.</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This Court should reject Monsanto’s attempt to relitigate the jury’s verdict, which was firmly supported by substantial evidence</w:t>
      </w:r>
      <w:r w:rsidR="001412EA">
        <w:rPr>
          <w:rFonts w:ascii="Adobe Garamond Pro" w:hAnsi="Adobe Garamond Pro"/>
          <w:i w:val="0"/>
          <w:iCs w:val="0"/>
          <w:noProof/>
          <w:sz w:val="28"/>
          <w:szCs w:val="28"/>
          <w14:ligatures w14:val="standardContextual"/>
        </w:rPr>
        <w:t xml:space="preserve"> </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119</w:t>
      </w:r>
    </w:p>
    <w:p w14:paraId="0EBD2505" w14:textId="76885B6E"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standard of review for sufficiency of the evidence for a jury verdict is extremely deferential</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120</w:t>
      </w:r>
    </w:p>
    <w:p w14:paraId="0941E99E" w14:textId="4EBFD0E3"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jury’s verdict is firmly supported by substantial evidence of exposure-based causation</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121</w:t>
      </w:r>
    </w:p>
    <w:p w14:paraId="40ABF9BC" w14:textId="520B02EC"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C.</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Sufficient evidence supports the jury’s finding that the plaintiffs were injured by furans</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127</w:t>
      </w:r>
    </w:p>
    <w:p w14:paraId="20988900" w14:textId="6565EE89"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D.</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Sufficient evidence supports the jury’s finding that Monsanto’s failure to warn caused the plaintiffs’ injuries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130</w:t>
      </w:r>
    </w:p>
    <w:p w14:paraId="16CC8777" w14:textId="00DACFE3" w:rsidR="001F2450" w:rsidRPr="00C43543" w:rsidRDefault="001F2450" w:rsidP="00D50540">
      <w:pPr>
        <w:pStyle w:val="TOC2"/>
        <w:tabs>
          <w:tab w:val="right" w:leader="dot" w:pos="7200"/>
        </w:tabs>
        <w:spacing w:before="0" w:after="160"/>
        <w:ind w:left="540" w:right="90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V.</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The trial court did not abuse its discretion in admitting evidence of other teachers’ and students’ injuries and, in any event, the evidence was duplicative and harmless</w:t>
      </w:r>
      <w:r w:rsidR="001412EA">
        <w:rPr>
          <w:rFonts w:ascii="Adobe Garamond Pro" w:hAnsi="Adobe Garamond Pro"/>
          <w:i w:val="0"/>
          <w:iCs w:val="0"/>
          <w:noProof/>
          <w:sz w:val="28"/>
          <w:szCs w:val="28"/>
          <w14:ligatures w14:val="standardContextual"/>
        </w:rPr>
        <w:t xml:space="preserve"> </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134</w:t>
      </w:r>
    </w:p>
    <w:p w14:paraId="3F759821" w14:textId="48CCAFD8" w:rsidR="001F2450" w:rsidRPr="00C43543" w:rsidRDefault="001F2450" w:rsidP="00D50540">
      <w:pPr>
        <w:pStyle w:val="TOC3"/>
        <w:tabs>
          <w:tab w:val="right" w:leader="dot" w:pos="7200"/>
        </w:tabs>
        <w:spacing w:after="160"/>
        <w:ind w:left="1080" w:right="45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trial court did not abuse its discretion in concluding that evidence of other teachers and students’ injuries is relevant</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135</w:t>
      </w:r>
    </w:p>
    <w:p w14:paraId="1D59F0CC" w14:textId="367D233E" w:rsidR="001F2450" w:rsidRPr="00C43543" w:rsidRDefault="001F2450" w:rsidP="00D50540">
      <w:pPr>
        <w:pStyle w:val="TOC3"/>
        <w:tabs>
          <w:tab w:val="right" w:leader="dot" w:pos="7200"/>
        </w:tabs>
        <w:spacing w:after="160"/>
        <w:ind w:left="1080" w:right="45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evidence that Monsanto complains was improperly admitted was harmless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142</w:t>
      </w:r>
    </w:p>
    <w:p w14:paraId="1E778E8A" w14:textId="26B1A455" w:rsidR="001F2450" w:rsidRPr="00C43543" w:rsidRDefault="001F2450" w:rsidP="00D50540">
      <w:pPr>
        <w:pStyle w:val="TOC2"/>
        <w:tabs>
          <w:tab w:val="right" w:leader="dot" w:pos="7200"/>
        </w:tabs>
        <w:spacing w:before="0" w:after="160"/>
        <w:ind w:left="540" w:right="720" w:hanging="540"/>
        <w:rPr>
          <w:rFonts w:ascii="Adobe Garamond Pro" w:eastAsiaTheme="minorEastAsia" w:hAnsi="Adobe Garamond Pro" w:cstheme="minorBidi"/>
          <w:i w:val="0"/>
          <w:iCs w:val="0"/>
          <w:noProof/>
          <w:kern w:val="0"/>
          <w:sz w:val="28"/>
          <w:szCs w:val="28"/>
          <w14:ligatures w14:val="standardContextual"/>
          <w14:cntxtAlts w14:val="0"/>
        </w:rPr>
      </w:pPr>
      <w:r w:rsidRPr="00C43543">
        <w:rPr>
          <w:rFonts w:ascii="Adobe Garamond Pro" w:hAnsi="Adobe Garamond Pro"/>
          <w:i w:val="0"/>
          <w:iCs w:val="0"/>
          <w:noProof/>
          <w:sz w:val="28"/>
          <w:szCs w:val="28"/>
          <w14:ligatures w14:val="standardContextual"/>
        </w:rPr>
        <w:t>VI.</w:t>
      </w:r>
      <w:r w:rsidRPr="00C43543">
        <w:rPr>
          <w:rFonts w:ascii="Adobe Garamond Pro" w:eastAsiaTheme="minorEastAsia" w:hAnsi="Adobe Garamond Pro" w:cstheme="minorBidi"/>
          <w:i w:val="0"/>
          <w:iCs w:val="0"/>
          <w:noProof/>
          <w:kern w:val="0"/>
          <w:sz w:val="28"/>
          <w:szCs w:val="28"/>
          <w14:ligatures w14:val="standardContextual"/>
          <w14:cntxtAlts w14:val="0"/>
        </w:rPr>
        <w:tab/>
      </w:r>
      <w:r w:rsidRPr="00C43543">
        <w:rPr>
          <w:rFonts w:ascii="Adobe Garamond Pro" w:hAnsi="Adobe Garamond Pro"/>
          <w:i w:val="0"/>
          <w:iCs w:val="0"/>
          <w:noProof/>
          <w:sz w:val="28"/>
          <w:szCs w:val="28"/>
          <w14:ligatures w14:val="standardContextual"/>
        </w:rPr>
        <w:t>The jury’s punitive-damages awards are fully consistent with the record and the U.S. Constitution</w:t>
      </w:r>
      <w:r w:rsidRPr="00C43543">
        <w:rPr>
          <w:rFonts w:ascii="Adobe Garamond Pro" w:hAnsi="Adobe Garamond Pro"/>
          <w:i w:val="0"/>
          <w:iCs w:val="0"/>
          <w:noProof/>
          <w:sz w:val="28"/>
          <w:szCs w:val="28"/>
          <w14:ligatures w14:val="standardContextual"/>
        </w:rPr>
        <w:tab/>
      </w:r>
      <w:r w:rsidR="008B14A7" w:rsidRPr="00C43543">
        <w:rPr>
          <w:rFonts w:ascii="Adobe Garamond Pro" w:hAnsi="Adobe Garamond Pro"/>
          <w:i w:val="0"/>
          <w:iCs w:val="0"/>
          <w:noProof/>
          <w:sz w:val="28"/>
          <w:szCs w:val="28"/>
          <w14:ligatures w14:val="standardContextual"/>
        </w:rPr>
        <w:t>144</w:t>
      </w:r>
    </w:p>
    <w:p w14:paraId="6BA40219" w14:textId="397D7187"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lastRenderedPageBreak/>
        <w:t>A.</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Monsanto has not shown that the jury’s punitive-damages awards are “completely unsupported by substantial evidence”</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145</w:t>
      </w:r>
    </w:p>
    <w:p w14:paraId="0DF15B3E" w14:textId="79BDC927" w:rsidR="001F2450" w:rsidRPr="00C43543" w:rsidRDefault="001F2450" w:rsidP="00D50540">
      <w:pPr>
        <w:pStyle w:val="TOC3"/>
        <w:tabs>
          <w:tab w:val="right" w:leader="dot" w:pos="7200"/>
        </w:tabs>
        <w:spacing w:after="160"/>
        <w:ind w:left="1080" w:right="720" w:hanging="520"/>
        <w:rPr>
          <w:rFonts w:ascii="Adobe Garamond Pro" w:eastAsiaTheme="minorEastAsia" w:hAnsi="Adobe Garamond Pro" w:cstheme="minorBidi"/>
          <w:noProof/>
          <w:kern w:val="0"/>
          <w:sz w:val="28"/>
          <w:szCs w:val="28"/>
          <w14:ligatures w14:val="standardContextual"/>
          <w14:cntxtAlts w14:val="0"/>
        </w:rPr>
      </w:pPr>
      <w:r w:rsidRPr="00C43543">
        <w:rPr>
          <w:rFonts w:ascii="Adobe Garamond Pro" w:hAnsi="Adobe Garamond Pro"/>
          <w:noProof/>
          <w:sz w:val="28"/>
          <w:szCs w:val="28"/>
          <w14:ligatures w14:val="standardContextual"/>
        </w:rPr>
        <w:t>B.</w:t>
      </w:r>
      <w:r w:rsidRPr="00C43543">
        <w:rPr>
          <w:rFonts w:ascii="Adobe Garamond Pro" w:eastAsiaTheme="minorEastAsia" w:hAnsi="Adobe Garamond Pro" w:cstheme="minorBidi"/>
          <w:noProof/>
          <w:kern w:val="0"/>
          <w:sz w:val="28"/>
          <w:szCs w:val="28"/>
          <w14:ligatures w14:val="standardContextual"/>
          <w14:cntxtAlts w14:val="0"/>
        </w:rPr>
        <w:tab/>
      </w:r>
      <w:r w:rsidRPr="00C43543">
        <w:rPr>
          <w:rFonts w:ascii="Adobe Garamond Pro" w:hAnsi="Adobe Garamond Pro"/>
          <w:noProof/>
          <w:sz w:val="28"/>
          <w:szCs w:val="28"/>
          <w14:ligatures w14:val="standardContextual"/>
        </w:rPr>
        <w:t>The jury’s punitive-damages awards do not violate due process</w:t>
      </w:r>
      <w:r w:rsidR="001412EA">
        <w:rPr>
          <w:rFonts w:ascii="Adobe Garamond Pro" w:hAnsi="Adobe Garamond Pro"/>
          <w:noProof/>
          <w:sz w:val="28"/>
          <w:szCs w:val="28"/>
          <w14:ligatures w14:val="standardContextual"/>
        </w:rPr>
        <w:t xml:space="preserve"> </w:t>
      </w:r>
      <w:r w:rsidRPr="00C43543">
        <w:rPr>
          <w:rFonts w:ascii="Adobe Garamond Pro" w:hAnsi="Adobe Garamond Pro"/>
          <w:noProof/>
          <w:sz w:val="28"/>
          <w:szCs w:val="28"/>
          <w14:ligatures w14:val="standardContextual"/>
        </w:rPr>
        <w:tab/>
      </w:r>
      <w:r w:rsidR="008B14A7" w:rsidRPr="00C43543">
        <w:rPr>
          <w:rFonts w:ascii="Adobe Garamond Pro" w:hAnsi="Adobe Garamond Pro"/>
          <w:noProof/>
          <w:sz w:val="28"/>
          <w:szCs w:val="28"/>
          <w14:ligatures w14:val="standardContextual"/>
        </w:rPr>
        <w:t>15</w:t>
      </w:r>
      <w:r w:rsidR="00C43543">
        <w:rPr>
          <w:rFonts w:ascii="Adobe Garamond Pro" w:hAnsi="Adobe Garamond Pro"/>
          <w:noProof/>
          <w:sz w:val="28"/>
          <w:szCs w:val="28"/>
          <w14:ligatures w14:val="standardContextual"/>
        </w:rPr>
        <w:t>4</w:t>
      </w:r>
    </w:p>
    <w:p w14:paraId="7F460B33" w14:textId="4DF4CB48" w:rsidR="001F2450" w:rsidRPr="00C43543" w:rsidRDefault="001F2450" w:rsidP="00D50540">
      <w:pPr>
        <w:pStyle w:val="TOC1"/>
        <w:tabs>
          <w:tab w:val="right" w:leader="dot" w:pos="7190"/>
        </w:tabs>
        <w:spacing w:before="0" w:after="160"/>
        <w:rPr>
          <w:rFonts w:ascii="Adobe Garamond Pro" w:eastAsiaTheme="minorEastAsia" w:hAnsi="Adobe Garamond Pro" w:cstheme="minorBidi"/>
          <w:b w:val="0"/>
          <w:bCs w:val="0"/>
          <w:noProof/>
          <w:kern w:val="0"/>
          <w:sz w:val="28"/>
          <w:szCs w:val="28"/>
          <w14:ligatures w14:val="standardContextual"/>
          <w14:cntxtAlts w14:val="0"/>
        </w:rPr>
      </w:pPr>
      <w:r w:rsidRPr="00C43543">
        <w:rPr>
          <w:rFonts w:ascii="Adobe Garamond Pro" w:hAnsi="Adobe Garamond Pro"/>
          <w:b w:val="0"/>
          <w:bCs w:val="0"/>
          <w:noProof/>
          <w:sz w:val="28"/>
          <w:szCs w:val="28"/>
          <w14:ligatures w14:val="standardContextual"/>
        </w:rPr>
        <w:t>C</w:t>
      </w:r>
      <w:r w:rsidR="002A7F2F" w:rsidRPr="00C43543">
        <w:rPr>
          <w:rFonts w:ascii="Adobe Garamond Pro" w:hAnsi="Adobe Garamond Pro"/>
          <w:b w:val="0"/>
          <w:bCs w:val="0"/>
          <w:noProof/>
          <w:sz w:val="28"/>
          <w:szCs w:val="28"/>
          <w14:ligatures w14:val="standardContextual"/>
        </w:rPr>
        <w:t>onclusion</w:t>
      </w:r>
      <w:r w:rsidRPr="00C43543">
        <w:rPr>
          <w:rFonts w:ascii="Adobe Garamond Pro" w:hAnsi="Adobe Garamond Pro"/>
          <w:b w:val="0"/>
          <w:bCs w:val="0"/>
          <w:noProof/>
          <w:sz w:val="28"/>
          <w:szCs w:val="28"/>
          <w14:ligatures w14:val="standardContextual"/>
        </w:rPr>
        <w:tab/>
      </w:r>
      <w:r w:rsidR="008B14A7" w:rsidRPr="00C43543">
        <w:rPr>
          <w:rFonts w:ascii="Adobe Garamond Pro" w:hAnsi="Adobe Garamond Pro"/>
          <w:b w:val="0"/>
          <w:bCs w:val="0"/>
          <w:noProof/>
          <w:sz w:val="28"/>
          <w:szCs w:val="28"/>
          <w14:ligatures w14:val="standardContextual"/>
        </w:rPr>
        <w:t>16</w:t>
      </w:r>
      <w:r w:rsidR="00C43543">
        <w:rPr>
          <w:rFonts w:ascii="Adobe Garamond Pro" w:hAnsi="Adobe Garamond Pro"/>
          <w:b w:val="0"/>
          <w:bCs w:val="0"/>
          <w:noProof/>
          <w:sz w:val="28"/>
          <w:szCs w:val="28"/>
          <w14:ligatures w14:val="standardContextual"/>
        </w:rPr>
        <w:t>4</w:t>
      </w:r>
    </w:p>
    <w:p w14:paraId="2C1F8660" w14:textId="762E01F9" w:rsidR="00DB6A2A" w:rsidRPr="00C43543" w:rsidRDefault="001F2450" w:rsidP="001F2450">
      <w:pPr>
        <w:pStyle w:val="Heading1"/>
        <w:rPr>
          <w:rFonts w:ascii="Adobe Garamond Pro" w:hAnsi="Adobe Garamond Pro"/>
          <w:b w:val="0"/>
          <w:bCs w:val="0"/>
          <w14:ligatures w14:val="standardContextual"/>
        </w:rPr>
      </w:pPr>
      <w:r w:rsidRPr="00C43543">
        <w:rPr>
          <w:rFonts w:ascii="Adobe Garamond Pro" w:hAnsi="Adobe Garamond Pro"/>
          <w:b w:val="0"/>
          <w:bCs w:val="0"/>
          <w14:ligatures w14:val="standardContextual"/>
        </w:rPr>
        <w:fldChar w:fldCharType="end"/>
      </w:r>
    </w:p>
    <w:p w14:paraId="09AA1B0E" w14:textId="0C88C697" w:rsidR="004F015E" w:rsidRPr="00E405C4" w:rsidRDefault="004F015E" w:rsidP="00FF0998">
      <w:pPr>
        <w:spacing w:line="560" w:lineRule="exact"/>
        <w:rPr>
          <w:szCs w:val="28"/>
          <w14:ligatures w14:val="standardContextual"/>
        </w:rPr>
      </w:pPr>
      <w:r w:rsidRPr="00E405C4">
        <w:rPr>
          <w:szCs w:val="28"/>
          <w14:ligatures w14:val="standardContextual"/>
        </w:rPr>
        <w:br w:type="page"/>
      </w:r>
    </w:p>
    <w:p w14:paraId="3C0AD20F" w14:textId="4FE8F18B" w:rsidR="00C44F35" w:rsidRPr="00C43543" w:rsidRDefault="00C44F35" w:rsidP="006507B3">
      <w:pPr>
        <w:pStyle w:val="Heading1"/>
        <w:rPr>
          <w:rFonts w:ascii="Adobe Garamond Pro" w:hAnsi="Adobe Garamond Pro"/>
          <w14:ligatures w14:val="standardContextual"/>
        </w:rPr>
      </w:pPr>
      <w:bookmarkStart w:id="13" w:name="_Toc3552003"/>
      <w:bookmarkStart w:id="14" w:name="_Toc3552282"/>
      <w:bookmarkStart w:id="15" w:name="_Toc105595231"/>
      <w:bookmarkStart w:id="16" w:name="_Toc109728314"/>
      <w:r w:rsidRPr="00C43543">
        <w:rPr>
          <w:rFonts w:ascii="Adobe Garamond Pro" w:hAnsi="Adobe Garamond Pro"/>
          <w14:ligatures w14:val="standardContextual"/>
        </w:rPr>
        <w:lastRenderedPageBreak/>
        <w:t>TABLE OF AUTHORITIES</w:t>
      </w:r>
      <w:bookmarkEnd w:id="13"/>
      <w:bookmarkEnd w:id="14"/>
      <w:bookmarkEnd w:id="15"/>
      <w:bookmarkEnd w:id="16"/>
    </w:p>
    <w:p w14:paraId="3DE4C72C" w14:textId="77777777" w:rsidR="00FD19F3" w:rsidRPr="00C43543" w:rsidRDefault="00FD19F3" w:rsidP="008C0692">
      <w:pPr>
        <w:pStyle w:val="TOAHeading"/>
        <w:tabs>
          <w:tab w:val="right" w:leader="dot" w:pos="7190"/>
        </w:tabs>
        <w:spacing w:before="0" w:after="160"/>
        <w:rPr>
          <w:rFonts w:ascii="Adobe Garamond Pro" w:eastAsiaTheme="minorEastAsia" w:hAnsi="Adobe Garamond Pro" w:cstheme="minorBidi"/>
          <w:b w:val="0"/>
          <w:bCs w:val="0"/>
          <w:noProof/>
          <w:szCs w:val="28"/>
          <w14:ligatures w14:val="standardContextual"/>
        </w:rPr>
      </w:pPr>
      <w:r w:rsidRPr="00E405C4">
        <w:rPr>
          <w:rFonts w:ascii="Adobe Garamond Pro" w:hAnsi="Adobe Garamond Pro"/>
          <w:b w:val="0"/>
          <w:bCs w:val="0"/>
          <w:szCs w:val="28"/>
          <w14:ligatures w14:val="standardContextual"/>
        </w:rPr>
        <w:fldChar w:fldCharType="begin"/>
      </w:r>
      <w:r w:rsidRPr="00E405C4">
        <w:rPr>
          <w:rFonts w:ascii="Adobe Garamond Pro" w:hAnsi="Adobe Garamond Pro"/>
          <w:b w:val="0"/>
          <w:bCs w:val="0"/>
          <w:szCs w:val="28"/>
          <w14:ligatures w14:val="standardContextual"/>
        </w:rPr>
        <w:instrText xml:space="preserve"> TOA \h \c "1" \p </w:instrText>
      </w:r>
      <w:r w:rsidRPr="00E405C4">
        <w:rPr>
          <w:rFonts w:ascii="Adobe Garamond Pro" w:hAnsi="Adobe Garamond Pro"/>
          <w:b w:val="0"/>
          <w:bCs w:val="0"/>
          <w:szCs w:val="28"/>
          <w14:ligatures w14:val="standardContextual"/>
        </w:rPr>
        <w:fldChar w:fldCharType="separate"/>
      </w:r>
      <w:r w:rsidRPr="00C43543">
        <w:rPr>
          <w:rFonts w:ascii="Adobe Garamond Pro" w:hAnsi="Adobe Garamond Pro"/>
          <w:noProof/>
          <w:szCs w:val="28"/>
          <w14:ligatures w14:val="standardContextual"/>
        </w:rPr>
        <w:t>Cases</w:t>
      </w:r>
    </w:p>
    <w:p w14:paraId="0CB9C7B1" w14:textId="7FB05C9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Abuan v. General Electric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3 F.3d 329 (9th Cir. 1993)</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122</w:t>
      </w:r>
      <w:r w:rsidRPr="00C43543">
        <w:rPr>
          <w:rFonts w:ascii="Adobe Garamond Pro" w:hAnsi="Adobe Garamond Pro"/>
          <w:noProof/>
          <w:szCs w:val="28"/>
          <w14:ligatures w14:val="standardContextual"/>
        </w:rPr>
        <w:t xml:space="preserve"> </w:t>
      </w:r>
    </w:p>
    <w:p w14:paraId="4E2E8992" w14:textId="1585BE2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Action Marine, Inc. v. Continental Carbon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481 F.3d 1302 (11th Cir. 2007)</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158</w:t>
      </w:r>
      <w:r w:rsidRPr="00C43543">
        <w:rPr>
          <w:rFonts w:ascii="Adobe Garamond Pro" w:hAnsi="Adobe Garamond Pro"/>
          <w:noProof/>
          <w:szCs w:val="28"/>
          <w14:ligatures w14:val="standardContextual"/>
        </w:rPr>
        <w:t xml:space="preserve"> </w:t>
      </w:r>
    </w:p>
    <w:p w14:paraId="6A608FB0" w14:textId="6D230E3C" w:rsidR="00FD19F3" w:rsidRPr="00C43543" w:rsidRDefault="00FD19F3" w:rsidP="008C0692">
      <w:pPr>
        <w:pStyle w:val="TableofAuthorities"/>
        <w:tabs>
          <w:tab w:val="right" w:leader="dot" w:pos="7190"/>
        </w:tabs>
        <w:spacing w:after="160"/>
        <w:ind w:right="63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Alaska Packers Association v. Industrial Accident Commission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294 U.S. 532 (1935)</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55, 56</w:t>
      </w:r>
    </w:p>
    <w:p w14:paraId="15753120"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Anderson v. Akzo Nobel Coatings,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172 Wn.2d 593, 260 P.3d 857 (2011)</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4BEA5877" w14:textId="66D19E5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Barr v. Interbay Citizens Bank</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96 Wn.2d 692, 649 P.2d 827 (1982)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69</w:t>
      </w:r>
    </w:p>
    <w:p w14:paraId="78509DC6" w14:textId="0F9B34F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Barrett v. Ambient Pressure Diving, Ltd.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2008 WL 4934021 (D.N.H. 2008)</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77</w:t>
      </w:r>
    </w:p>
    <w:p w14:paraId="47C1BF3F" w14:textId="2C8743B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Barriga Figueroa v. Prieto Mariscal</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193 Wn.2d 404, 441 P.3d 818 (2019)</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119</w:t>
      </w:r>
    </w:p>
    <w:p w14:paraId="6ED2B9B6" w14:textId="5101453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Bennett v. Department of Labor &amp; Industries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95 Wn.2d 531, 627 P.2d 104 (1981)</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139</w:t>
      </w:r>
    </w:p>
    <w:p w14:paraId="252B758D" w14:textId="10819C4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Bennett v. Richmond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960 N.E.2d 782 (Ind. 2012)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116</w:t>
      </w:r>
    </w:p>
    <w:p w14:paraId="0F497492" w14:textId="1B0AD8D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Bhagvandoss v. Beiersdorf,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723 S.W.2d 392 (Mo. 1987)</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153</w:t>
      </w:r>
    </w:p>
    <w:p w14:paraId="1009D06C" w14:textId="6A4E534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Blanks v. Fluor</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450 S.W.3d 308 (Mo. Ct. App. 2014)</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76, 145, 148, 149</w:t>
      </w:r>
    </w:p>
    <w:p w14:paraId="638D685E"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BMW of North America, Inc. v. Gore</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517 U.S. 559 (1996)</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42E9D3A3" w14:textId="5A2ADA9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Boudreaux v. Weyerhaeuser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10 W</w:t>
      </w:r>
      <w:r w:rsidR="003B6E73" w:rsidRPr="00C43543">
        <w:rPr>
          <w:rFonts w:ascii="Adobe Garamond Pro" w:hAnsi="Adobe Garamond Pro"/>
          <w:noProof/>
          <w:szCs w:val="28"/>
          <w14:ligatures w14:val="standardContextual"/>
        </w:rPr>
        <w:t>n</w:t>
      </w:r>
      <w:r w:rsidRPr="00C43543">
        <w:rPr>
          <w:rFonts w:ascii="Adobe Garamond Pro" w:hAnsi="Adobe Garamond Pro"/>
          <w:noProof/>
          <w:szCs w:val="28"/>
          <w14:ligatures w14:val="standardContextual"/>
        </w:rPr>
        <w:t>. App. 2d 289, 448 P.3d 121 (2019)</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58</w:t>
      </w:r>
    </w:p>
    <w:p w14:paraId="1F68E6DD" w14:textId="51C150D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Brewer v. Fibreboard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127 Wn.2d 512, 901 P.2d 297 (1995)</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49</w:t>
      </w:r>
    </w:p>
    <w:p w14:paraId="166D6D2D" w14:textId="7B59B00C" w:rsidR="00FD19F3" w:rsidRPr="00C43543" w:rsidRDefault="00FD19F3" w:rsidP="008C0692">
      <w:pPr>
        <w:pStyle w:val="TableofAuthorities"/>
        <w:tabs>
          <w:tab w:val="right" w:leader="dot" w:pos="7190"/>
        </w:tabs>
        <w:spacing w:after="160"/>
        <w:ind w:right="1260"/>
        <w:rPr>
          <w:rFonts w:ascii="Adobe Garamond Pro" w:hAnsi="Adobe Garamond Pro"/>
          <w:noProof/>
          <w:szCs w:val="28"/>
          <w14:ligatures w14:val="standardContextual"/>
        </w:rPr>
      </w:pPr>
      <w:r w:rsidRPr="00C43543">
        <w:rPr>
          <w:rFonts w:ascii="Adobe Garamond Pro" w:hAnsi="Adobe Garamond Pro"/>
          <w:bCs/>
          <w:i/>
          <w:iCs/>
          <w:noProof/>
          <w:szCs w:val="28"/>
          <w14:ligatures w14:val="standardContextual"/>
        </w:rPr>
        <w:t>Brown v. Spokane County Fire Protection District No. 1</w:t>
      </w:r>
      <w:r w:rsidRPr="00C43543">
        <w:rPr>
          <w:rFonts w:ascii="Adobe Garamond Pro" w:hAnsi="Adobe Garamond Pro"/>
          <w:bCs/>
          <w:noProof/>
          <w:szCs w:val="28"/>
          <w14:ligatures w14:val="standardContextual"/>
        </w:rPr>
        <w:t>,</w:t>
      </w:r>
      <w:r w:rsidRPr="00C43543">
        <w:rPr>
          <w:rFonts w:ascii="Adobe Garamond Pro" w:hAnsi="Adobe Garamond Pro"/>
          <w:bCs/>
          <w:noProof/>
          <w:szCs w:val="28"/>
          <w14:ligatures w14:val="standardContextual"/>
        </w:rPr>
        <w:br/>
        <w:t>100 Wn.2d 188, 668 P.2d 571 (1983)</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108, 118, 142</w:t>
      </w:r>
    </w:p>
    <w:p w14:paraId="7F02165C" w14:textId="3078591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Bruce v. Haworth,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2014 WL 834184 (W.D. Mich. Mar. 4, 2014)</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54</w:t>
      </w:r>
    </w:p>
    <w:p w14:paraId="0E20BE69" w14:textId="0B1273F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Bruns v. Paccar,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77 Wn. App. 201, 890 P.2d 469 (1995)</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122</w:t>
      </w:r>
    </w:p>
    <w:p w14:paraId="193586B5" w14:textId="29721E5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Bryant v. Wyeth</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879 F. Supp. 2d 1214 (W.D. Wash. 2012)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69</w:t>
      </w:r>
    </w:p>
    <w:p w14:paraId="357D88F3" w14:textId="7C35E9F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Budd v. Kaiser Gypsum Co.,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21 Wn. App. 2d 56, 505 P.3d 120 (2022)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133</w:t>
      </w:r>
    </w:p>
    <w:p w14:paraId="2BFB98C9" w14:textId="53CBB76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Burnside v. Simpson Paper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123 Wn.2d 93, 864 P.2d 937 (1994)</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120, 123</w:t>
      </w:r>
    </w:p>
    <w:p w14:paraId="6E212DEF" w14:textId="44458C7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Cairns v. Franklin Mint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292 F.3d 1139 (9th Cir. 2002)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59</w:t>
      </w:r>
      <w:r w:rsidR="00756155" w:rsidRPr="00C43543">
        <w:rPr>
          <w:rFonts w:ascii="Adobe Garamond Pro" w:hAnsi="Adobe Garamond Pro"/>
          <w:noProof/>
          <w:szCs w:val="28"/>
          <w14:ligatures w14:val="standardContextual"/>
        </w:rPr>
        <w:t>, 72</w:t>
      </w:r>
    </w:p>
    <w:p w14:paraId="70307DA2" w14:textId="72AAA728" w:rsidR="004843BE" w:rsidRPr="00C43543" w:rsidRDefault="004843BE"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Calabotta v. Phibro Animal Health Corp.</w:t>
      </w:r>
      <w:r w:rsidR="002B5339">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460 N.J. Super. 38 (App. Div. 2019)</w:t>
      </w:r>
      <w:r w:rsidRPr="00C43543">
        <w:rPr>
          <w:rFonts w:ascii="Adobe Garamond Pro" w:hAnsi="Adobe Garamond Pro"/>
          <w:noProof/>
          <w:szCs w:val="28"/>
          <w14:ligatures w14:val="standardContextual"/>
        </w:rPr>
        <w:tab/>
        <w:t>57</w:t>
      </w:r>
    </w:p>
    <w:p w14:paraId="09EC1EA4"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Campbell v. ITE Imperial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107 Wn.2d 807, 733 P.2d 969 (1987)</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426033F3" w14:textId="6EB5DFC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CB Aviation v. Hawker Beechcraft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2010 WL 3221899 (E.D. Pa. Aug. 12, 2010)</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52</w:t>
      </w:r>
    </w:p>
    <w:p w14:paraId="7FB5B7DB" w14:textId="4630C40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Chinnock v. Safeco Insurance Co. of America</w:t>
      </w:r>
      <w:r w:rsidRPr="00C43543">
        <w:rPr>
          <w:rFonts w:ascii="Adobe Garamond Pro" w:hAnsi="Adobe Garamond Pro"/>
          <w:noProof/>
          <w:szCs w:val="28"/>
          <w14:ligatures w14:val="standardContextual"/>
        </w:rPr>
        <w:t>,</w:t>
      </w:r>
      <w:r w:rsidRPr="00C43543">
        <w:rPr>
          <w:rFonts w:ascii="Adobe Garamond Pro" w:hAnsi="Adobe Garamond Pro"/>
          <w:i/>
          <w:iCs/>
          <w:noProof/>
          <w:szCs w:val="28"/>
          <w14:ligatures w14:val="standardContextual"/>
        </w:rPr>
        <w:br/>
      </w:r>
      <w:r w:rsidRPr="00C43543">
        <w:rPr>
          <w:rFonts w:ascii="Adobe Garamond Pro" w:hAnsi="Adobe Garamond Pro"/>
          <w:noProof/>
          <w:szCs w:val="28"/>
          <w14:ligatures w14:val="standardContextual"/>
        </w:rPr>
        <w:t>2022 WL 1469545 (D. Colo. May 10, 2022)</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115, 116</w:t>
      </w:r>
    </w:p>
    <w:p w14:paraId="795B50CE" w14:textId="677E836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Citizens Insurance Co. of America v. Daccach</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217 S.W.3d 430 (Tex. 2007)</w:t>
      </w:r>
      <w:r w:rsidRPr="00C43543">
        <w:rPr>
          <w:rFonts w:ascii="Adobe Garamond Pro" w:hAnsi="Adobe Garamond Pro"/>
          <w:noProof/>
          <w:szCs w:val="28"/>
          <w14:ligatures w14:val="standardContextual"/>
        </w:rPr>
        <w:tab/>
      </w:r>
      <w:r w:rsidR="008659DC" w:rsidRPr="00C43543">
        <w:rPr>
          <w:rFonts w:ascii="Adobe Garamond Pro" w:hAnsi="Adobe Garamond Pro"/>
          <w:noProof/>
          <w:szCs w:val="28"/>
          <w14:ligatures w14:val="standardContextual"/>
        </w:rPr>
        <w:t>61</w:t>
      </w:r>
    </w:p>
    <w:p w14:paraId="3F37DF9A" w14:textId="5697C02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City of Bellevue v. Raum</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171 Wn. App. 124, 286 P.3d 695 (2012)</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98, 126</w:t>
      </w:r>
    </w:p>
    <w:p w14:paraId="5D89FF05" w14:textId="3913482F"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Commonwealth v. Dillon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925 A.2d 131 (Pa. 2007)</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137</w:t>
      </w:r>
    </w:p>
    <w:p w14:paraId="1209481F" w14:textId="48E8BDC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Coogan v. Borg-Warner Morse Tec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197 Wn.2d 790, 490 P.3d 200 (2021)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120, 121, 129</w:t>
      </w:r>
    </w:p>
    <w:p w14:paraId="092096EB" w14:textId="5682FA0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Coon ex rel. Coon v. American Compressed Steel,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207 S.W.3d 629 (Mo. Ct. App. 2006)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76</w:t>
      </w:r>
    </w:p>
    <w:p w14:paraId="424A7E0D" w14:textId="5231DB5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Cooper Industries, Inc. v. Leatherman Tool Group,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532 U.S. 424 (2001)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157</w:t>
      </w:r>
    </w:p>
    <w:p w14:paraId="3ED299E8" w14:textId="5A0BFC6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DC3 Ent., LLC v. John Galt Entertainment,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2006 WL 278573 (W.D. Wash. Feb. 2, 2006)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77</w:t>
      </w:r>
    </w:p>
    <w:p w14:paraId="30672350" w14:textId="4D7EC3F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Desranleau v. Hyland’s,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10 Wn. App. 2d 837, 450 P.3d 1203 (2019)</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63, 72</w:t>
      </w:r>
    </w:p>
    <w:p w14:paraId="7FC27938" w14:textId="46296A2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Doctor’s Data, Inc. v. Barrett</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170 F. Supp. 3d 1087 (N.D. Ill. 2016)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52</w:t>
      </w:r>
    </w:p>
    <w:p w14:paraId="62B14C48" w14:textId="07EABFC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Doe v. Prudential Insu</w:t>
      </w:r>
      <w:r w:rsidR="004843BE" w:rsidRPr="00C43543">
        <w:rPr>
          <w:rFonts w:ascii="Adobe Garamond Pro" w:hAnsi="Adobe Garamond Pro"/>
          <w:i/>
          <w:iCs/>
          <w:noProof/>
          <w:szCs w:val="28"/>
          <w14:ligatures w14:val="standardContextual"/>
        </w:rPr>
        <w:t>r</w:t>
      </w:r>
      <w:r w:rsidRPr="00C43543">
        <w:rPr>
          <w:rFonts w:ascii="Adobe Garamond Pro" w:hAnsi="Adobe Garamond Pro"/>
          <w:i/>
          <w:iCs/>
          <w:noProof/>
          <w:szCs w:val="28"/>
          <w14:ligatures w14:val="standardContextual"/>
        </w:rPr>
        <w:t>ance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245 F. Supp. 3d 1172 (C.D. Cal. 2017)</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114, 116, 117</w:t>
      </w:r>
    </w:p>
    <w:p w14:paraId="46C85892" w14:textId="5B34563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Drabik v. Stanley-Bostitch,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997 F.2d 496 (8th Cir. 1993)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151</w:t>
      </w:r>
    </w:p>
    <w:p w14:paraId="0EFAC0E5" w14:textId="13D761B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Driggs v. Howlett</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193 Wn. App. 875, 371 P.3d 61 (2016)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99</w:t>
      </w:r>
    </w:p>
    <w:p w14:paraId="44C6BB3A" w14:textId="4E50245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Ehrenfelt v. Janssen Pharmaceuticals,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2016 WL 7335922 (W.D. Tenn. June 23, 2016)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48, 54, 73</w:t>
      </w:r>
    </w:p>
    <w:p w14:paraId="17097617" w14:textId="49D0B09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Exxon Shipping Co. v. Baker</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554 U.S. 471 (2008)</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158</w:t>
      </w:r>
    </w:p>
    <w:p w14:paraId="610417E9" w14:textId="4F56B3E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Faust v. Albertson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167 Wn.2d 531, 222 P.3d 1208 (2009)</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120, 127, 145</w:t>
      </w:r>
    </w:p>
    <w:p w14:paraId="75163163" w14:textId="49709D9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Frye v. United States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293 F. 1013 (D.C. Cir. 1923)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94</w:t>
      </w:r>
    </w:p>
    <w:p w14:paraId="6F71AACF" w14:textId="1627195A" w:rsidR="00FD19F3" w:rsidRPr="00C43543" w:rsidRDefault="00FD19F3" w:rsidP="008C0692">
      <w:pPr>
        <w:pStyle w:val="TableofAuthorities"/>
        <w:tabs>
          <w:tab w:val="right" w:leader="dot" w:pos="7190"/>
        </w:tabs>
        <w:spacing w:after="160"/>
        <w:ind w:right="720"/>
        <w:rPr>
          <w:rFonts w:ascii="Adobe Garamond Pro" w:hAnsi="Adobe Garamond Pro"/>
          <w:noProof/>
          <w:szCs w:val="28"/>
          <w14:ligatures w14:val="standardContextual"/>
        </w:rPr>
      </w:pPr>
      <w:r w:rsidRPr="00C43543">
        <w:rPr>
          <w:rFonts w:ascii="Adobe Garamond Pro" w:eastAsiaTheme="minorHAnsi" w:hAnsi="Adobe Garamond Pro"/>
          <w:i/>
          <w:iCs/>
          <w:noProof/>
          <w:szCs w:val="28"/>
          <w14:ligatures w14:val="standardContextual"/>
        </w:rPr>
        <w:t>Futureselect Portfolio Management, Inc. v. Tremont Group Holdings, Inc.</w:t>
      </w:r>
      <w:r w:rsidRPr="00C43543">
        <w:rPr>
          <w:rFonts w:ascii="Adobe Garamond Pro" w:eastAsiaTheme="minorHAnsi" w:hAnsi="Adobe Garamond Pro"/>
          <w:noProof/>
          <w:szCs w:val="28"/>
          <w14:ligatures w14:val="standardContextual"/>
        </w:rPr>
        <w:t>,</w:t>
      </w:r>
      <w:r w:rsidRPr="00C43543">
        <w:rPr>
          <w:rFonts w:ascii="Adobe Garamond Pro" w:eastAsiaTheme="minorHAnsi" w:hAnsi="Adobe Garamond Pro"/>
          <w:noProof/>
          <w:szCs w:val="28"/>
          <w14:ligatures w14:val="standardContextual"/>
        </w:rPr>
        <w:br/>
        <w:t>175 Wn. App. 840, 309 P.3d 555 (2013)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52</w:t>
      </w:r>
    </w:p>
    <w:p w14:paraId="76B2AD2C" w14:textId="138DFD1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Global-Tech Appliances, Inc. v. SEB S.A.</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63 U.S. 754 (2011)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150</w:t>
      </w:r>
    </w:p>
    <w:p w14:paraId="3FAA796E" w14:textId="2CB0D0F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Harris v. Jungerman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560 S.W.3d 549 (Mo. Ct. App. 2018)</w:t>
      </w:r>
      <w:r w:rsidRPr="00C43543">
        <w:rPr>
          <w:rFonts w:ascii="Adobe Garamond Pro" w:hAnsi="Adobe Garamond Pro"/>
          <w:noProof/>
          <w:szCs w:val="28"/>
          <w14:ligatures w14:val="standardContextual"/>
        </w:rPr>
        <w:tab/>
      </w:r>
      <w:r w:rsidR="009452E5" w:rsidRPr="00C43543">
        <w:rPr>
          <w:rFonts w:ascii="Adobe Garamond Pro" w:hAnsi="Adobe Garamond Pro"/>
          <w:noProof/>
          <w:szCs w:val="28"/>
          <w14:ligatures w14:val="standardContextual"/>
        </w:rPr>
        <w:t>76</w:t>
      </w:r>
    </w:p>
    <w:p w14:paraId="0A0141F6" w14:textId="2742FFA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Henricksen v. ConocoPhillips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605 F. Supp. 2d 1142 (E.D. Wash. 2009)</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122</w:t>
      </w:r>
    </w:p>
    <w:p w14:paraId="6D4C3B67" w14:textId="4307D54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Hersh v. CKE Rest</w:t>
      </w:r>
      <w:r w:rsidR="002B5339">
        <w:rPr>
          <w:rFonts w:ascii="Adobe Garamond Pro" w:hAnsi="Adobe Garamond Pro"/>
          <w:i/>
          <w:iCs/>
          <w:noProof/>
          <w:szCs w:val="28"/>
          <w14:ligatures w14:val="standardContextual"/>
        </w:rPr>
        <w:t>aurant</w:t>
      </w:r>
      <w:r w:rsidRPr="00C43543">
        <w:rPr>
          <w:rFonts w:ascii="Adobe Garamond Pro" w:hAnsi="Adobe Garamond Pro"/>
          <w:i/>
          <w:iCs/>
          <w:noProof/>
          <w:szCs w:val="28"/>
          <w14:ligatures w14:val="standardContextual"/>
        </w:rPr>
        <w:t xml:space="preserve"> Holdings,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571 F. Supp.</w:t>
      </w:r>
      <w:r w:rsidR="001412EA">
        <w:rPr>
          <w:rFonts w:ascii="Adobe Garamond Pro" w:hAnsi="Adobe Garamond Pro"/>
          <w:noProof/>
          <w:szCs w:val="28"/>
          <w14:ligatures w14:val="standardContextual"/>
        </w:rPr>
        <w:t xml:space="preserve"> </w:t>
      </w:r>
      <w:r w:rsidRPr="00C43543">
        <w:rPr>
          <w:rFonts w:ascii="Adobe Garamond Pro" w:hAnsi="Adobe Garamond Pro"/>
          <w:noProof/>
          <w:szCs w:val="28"/>
          <w14:ligatures w14:val="standardContextual"/>
        </w:rPr>
        <w:t>3d 1046 (E.D. Mo. 2021)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68</w:t>
      </w:r>
    </w:p>
    <w:p w14:paraId="208FD1BC" w14:textId="5EB7832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 xml:space="preserve">Hightower v. Kansas </w:t>
      </w:r>
      <w:r w:rsidRPr="00C43543">
        <w:rPr>
          <w:rFonts w:ascii="Adobe Garamond Pro" w:hAnsi="Adobe Garamond Pro"/>
          <w:noProof/>
          <w:szCs w:val="28"/>
          <w14:ligatures w14:val="standardContextual"/>
        </w:rPr>
        <w:t>City,</w:t>
      </w:r>
      <w:r w:rsidRPr="00C43543">
        <w:rPr>
          <w:rFonts w:ascii="Adobe Garamond Pro" w:hAnsi="Adobe Garamond Pro"/>
          <w:noProof/>
          <w:szCs w:val="28"/>
          <w14:ligatures w14:val="standardContextual"/>
        </w:rPr>
        <w:br/>
        <w:t>70 P.3d 835 (Okla. 2003)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52</w:t>
      </w:r>
    </w:p>
    <w:p w14:paraId="486DE1C1" w14:textId="7634713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Huntoon v. TCI Cablevision,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969 P.2d 681 (Colo. 1998)</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116</w:t>
      </w:r>
    </w:p>
    <w:p w14:paraId="3A7A7564" w14:textId="1582867C" w:rsidR="00FD19F3" w:rsidRPr="00C43543" w:rsidRDefault="00FD19F3" w:rsidP="008C0692">
      <w:pPr>
        <w:pStyle w:val="TableofAuthorities"/>
        <w:tabs>
          <w:tab w:val="right" w:leader="dot" w:pos="7190"/>
        </w:tabs>
        <w:spacing w:after="160"/>
        <w:ind w:right="72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 re Air Crash at Belle Harbor, New York on Nov. 12, 2001</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2006 WL 1288298 (S.D.N.Y. May 9, 2006)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78</w:t>
      </w:r>
    </w:p>
    <w:p w14:paraId="06F653B9" w14:textId="4DB5980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 re Air Crash Disaster Near New Orleans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789 F.2d 1092 (5th Cir. 1986)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77</w:t>
      </w:r>
    </w:p>
    <w:p w14:paraId="32F6A43E" w14:textId="5BDA9A8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 re Hanford Nuclear Reservation Litigation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292 F.3d 1124 (9th Cir. 2002)</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121</w:t>
      </w:r>
    </w:p>
    <w:p w14:paraId="3B07B5AA" w14:textId="6AE09C3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 re ICP Strategic Credit Income Fund Ltd.,</w:t>
      </w:r>
      <w:r w:rsidRPr="00C43543">
        <w:rPr>
          <w:rFonts w:ascii="Adobe Garamond Pro" w:hAnsi="Adobe Garamond Pro"/>
          <w:i/>
          <w:iCs/>
          <w:noProof/>
          <w:szCs w:val="28"/>
          <w14:ligatures w14:val="standardContextual"/>
        </w:rPr>
        <w:br/>
      </w:r>
      <w:r w:rsidRPr="00C43543">
        <w:rPr>
          <w:rFonts w:ascii="Adobe Garamond Pro" w:hAnsi="Adobe Garamond Pro"/>
          <w:noProof/>
          <w:szCs w:val="28"/>
          <w14:ligatures w14:val="standardContextual"/>
        </w:rPr>
        <w:t>568 B.R. 596 (S.D.N.Y. 2017)</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51</w:t>
      </w:r>
    </w:p>
    <w:p w14:paraId="31D11E1D" w14:textId="6219C65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 re Welfare of Shope</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23 Wn. App. 567, 596 P.2d 1361 (1979)</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135</w:t>
      </w:r>
    </w:p>
    <w:p w14:paraId="3E7D12D4" w14:textId="48ECB9C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lastRenderedPageBreak/>
        <w:t>In re General Motors LLC Ignition Switch Litigation</w:t>
      </w:r>
      <w:r w:rsidRPr="00C43543">
        <w:rPr>
          <w:rFonts w:ascii="Adobe Garamond Pro" w:hAnsi="Adobe Garamond Pro"/>
          <w:iCs/>
          <w:noProof/>
          <w:szCs w:val="28"/>
          <w14:ligatures w14:val="standardContextual"/>
        </w:rPr>
        <w:t>,</w:t>
      </w:r>
      <w:r w:rsidRPr="00C43543">
        <w:rPr>
          <w:rFonts w:ascii="Adobe Garamond Pro" w:hAnsi="Adobe Garamond Pro"/>
          <w:iCs/>
          <w:noProof/>
          <w:szCs w:val="28"/>
          <w14:ligatures w14:val="standardContextual"/>
        </w:rPr>
        <w:br/>
        <w:t>202 F. Supp. 3d 362 (S.D.N.Y. 2016)</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75</w:t>
      </w:r>
    </w:p>
    <w:p w14:paraId="5F48361E" w14:textId="2816675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Ingham v. Johnson &amp; Johnson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608 S.W.3d 663 (Mo. Ct. App. 2020)</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145, 151, 160, 162</w:t>
      </w:r>
    </w:p>
    <w:p w14:paraId="7050F456" w14:textId="7E53A0AA" w:rsidR="00FD19F3" w:rsidRPr="00C43543" w:rsidRDefault="00FD19F3" w:rsidP="008C0692">
      <w:pPr>
        <w:pStyle w:val="TableofAuthorities"/>
        <w:tabs>
          <w:tab w:val="right" w:leader="dot" w:pos="7190"/>
        </w:tabs>
        <w:spacing w:after="160"/>
        <w:ind w:right="99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Intalco Aluminum v. Department of Labor &amp;</w:t>
      </w:r>
      <w:r w:rsidR="00BF7D7E" w:rsidRPr="00C43543">
        <w:rPr>
          <w:rFonts w:ascii="Adobe Garamond Pro" w:hAnsi="Adobe Garamond Pro"/>
          <w:i/>
          <w:iCs/>
          <w:noProof/>
          <w:szCs w:val="28"/>
          <w14:ligatures w14:val="standardContextual"/>
        </w:rPr>
        <w:t xml:space="preserve"> </w:t>
      </w:r>
      <w:r w:rsidRPr="00C43543">
        <w:rPr>
          <w:rFonts w:ascii="Adobe Garamond Pro" w:hAnsi="Adobe Garamond Pro"/>
          <w:i/>
          <w:iCs/>
          <w:noProof/>
          <w:szCs w:val="28"/>
          <w14:ligatures w14:val="standardContextual"/>
        </w:rPr>
        <w:t>Industries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66 W</w:t>
      </w:r>
      <w:r w:rsidR="003B6E73" w:rsidRPr="00C43543">
        <w:rPr>
          <w:rFonts w:ascii="Adobe Garamond Pro" w:hAnsi="Adobe Garamond Pro"/>
          <w:noProof/>
          <w:szCs w:val="28"/>
          <w14:ligatures w14:val="standardContextual"/>
        </w:rPr>
        <w:t>n</w:t>
      </w:r>
      <w:r w:rsidRPr="00C43543">
        <w:rPr>
          <w:rFonts w:ascii="Adobe Garamond Pro" w:hAnsi="Adobe Garamond Pro"/>
          <w:noProof/>
          <w:szCs w:val="28"/>
          <w14:ligatures w14:val="standardContextual"/>
        </w:rPr>
        <w:t>. App. 644, 833 P.2d 390 (1992)</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126, 140</w:t>
      </w:r>
    </w:p>
    <w:p w14:paraId="6CBA8678" w14:textId="02945DA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James v. Powell</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 N.Y.2d 249 (1967)</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77</w:t>
      </w:r>
    </w:p>
    <w:p w14:paraId="4AC593EB" w14:textId="784BF22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Jaurequi v. John Deere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986 F.2d 170 (7th Cir. 1993)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46</w:t>
      </w:r>
    </w:p>
    <w:p w14:paraId="18C86E9F"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Johnson v. Spider Staging Co.</w:t>
      </w:r>
      <w:r w:rsidRPr="00C43543">
        <w:rPr>
          <w:rFonts w:ascii="Adobe Garamond Pro" w:hAnsi="Adobe Garamond Pro"/>
          <w:noProof/>
          <w:szCs w:val="28"/>
          <w14:ligatures w14:val="standardContextual"/>
        </w:rPr>
        <w:t>,</w:t>
      </w:r>
      <w:r w:rsidRPr="00C43543">
        <w:rPr>
          <w:rFonts w:ascii="Adobe Garamond Pro" w:hAnsi="Adobe Garamond Pro"/>
          <w:i/>
          <w:iCs/>
          <w:noProof/>
          <w:szCs w:val="28"/>
          <w14:ligatures w14:val="standardContextual"/>
        </w:rPr>
        <w:br/>
      </w:r>
      <w:r w:rsidRPr="00C43543">
        <w:rPr>
          <w:rFonts w:ascii="Adobe Garamond Pro" w:hAnsi="Adobe Garamond Pro"/>
          <w:noProof/>
          <w:szCs w:val="28"/>
          <w14:ligatures w14:val="standardContextual"/>
        </w:rPr>
        <w:t>87 Wn.2d 577 (1976)</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5C4891D7" w14:textId="668D4CB6" w:rsidR="00FD19F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Johnston-Forbes v. Matsunaga</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181 Wn.2d 346, 333 P.3d 388 (2014)</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93, 94, 99</w:t>
      </w:r>
    </w:p>
    <w:p w14:paraId="59972971" w14:textId="67682C38" w:rsidR="002B5339" w:rsidRPr="00A859B7" w:rsidRDefault="002B5339" w:rsidP="002B5339">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i/>
          <w:iCs/>
          <w:szCs w:val="28"/>
          <w14:ligatures w14:val="standardContextual"/>
        </w:rPr>
        <w:t>Johnston v. Upjohn Co.</w:t>
      </w:r>
      <w:r w:rsidRPr="00A859B7">
        <w:rPr>
          <w:rFonts w:ascii="Adobe Garamond Pro" w:hAnsi="Adobe Garamond Pro"/>
          <w:iCs/>
          <w:szCs w:val="28"/>
          <w14:ligatures w14:val="standardContextual"/>
        </w:rPr>
        <w:t>,</w:t>
      </w:r>
      <w:r w:rsidRPr="00A859B7">
        <w:rPr>
          <w:rFonts w:ascii="Adobe Garamond Pro" w:hAnsi="Adobe Garamond Pro"/>
          <w:noProof/>
          <w:szCs w:val="28"/>
          <w14:ligatures w14:val="standardContextual"/>
        </w:rPr>
        <w:br/>
        <w:t>1</w:t>
      </w:r>
      <w:r w:rsidRPr="00A859B7">
        <w:rPr>
          <w:rFonts w:ascii="Adobe Garamond Pro" w:hAnsi="Adobe Garamond Pro"/>
          <w:iCs/>
          <w:szCs w:val="28"/>
          <w14:ligatures w14:val="standardContextual"/>
        </w:rPr>
        <w:t>442 S.W.2d 93</w:t>
      </w:r>
      <w:r>
        <w:rPr>
          <w:rFonts w:ascii="Adobe Garamond Pro" w:hAnsi="Adobe Garamond Pro"/>
          <w:iCs/>
          <w:szCs w:val="28"/>
          <w14:ligatures w14:val="standardContextual"/>
        </w:rPr>
        <w:t xml:space="preserve"> (Mo. App. 1969)</w:t>
      </w:r>
      <w:r w:rsidRPr="00A859B7">
        <w:rPr>
          <w:rFonts w:ascii="Adobe Garamond Pro" w:hAnsi="Adobe Garamond Pro"/>
          <w:noProof/>
          <w:szCs w:val="28"/>
          <w14:ligatures w14:val="standardContextual"/>
        </w:rPr>
        <w:tab/>
      </w:r>
      <w:r>
        <w:rPr>
          <w:rFonts w:ascii="Adobe Garamond Pro" w:hAnsi="Adobe Garamond Pro"/>
          <w:noProof/>
          <w:szCs w:val="28"/>
          <w14:ligatures w14:val="standardContextual"/>
        </w:rPr>
        <w:t>75</w:t>
      </w:r>
    </w:p>
    <w:p w14:paraId="670FDB44" w14:textId="3A3F494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Kammerer v. Western Gear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96 Wn.2d 416, 635 P.2d 708 (1981)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66, 68</w:t>
      </w:r>
    </w:p>
    <w:p w14:paraId="665BAAB3" w14:textId="33DD6C3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Kansas City v. Keene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855 S.W.2d 360 (Mo. 1993)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151</w:t>
      </w:r>
    </w:p>
    <w:p w14:paraId="65B07D8D" w14:textId="195BD4A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Katare v. Katare,</w:t>
      </w:r>
      <w:r w:rsidRPr="00C43543">
        <w:rPr>
          <w:rFonts w:ascii="Adobe Garamond Pro" w:hAnsi="Adobe Garamond Pro"/>
          <w:noProof/>
          <w:szCs w:val="28"/>
          <w14:ligatures w14:val="standardContextual"/>
        </w:rPr>
        <w:br/>
        <w:t>175 Wn.2d 23, 283 P.3d 546 (2012)</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3, 93, 98</w:t>
      </w:r>
    </w:p>
    <w:p w14:paraId="3ECD72F9" w14:textId="250F0FF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Kehm v. Procter &amp; Gamble Manufacturing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724 F.2d 613 (8th Cir. 1983)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136, 141</w:t>
      </w:r>
    </w:p>
    <w:p w14:paraId="6AC091BF" w14:textId="32670D7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Kilberg v. Northeast Airlines,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172 N.E.2d 526 (</w:t>
      </w:r>
      <w:r w:rsidR="001412EA">
        <w:rPr>
          <w:rFonts w:ascii="Adobe Garamond Pro" w:hAnsi="Adobe Garamond Pro"/>
          <w:noProof/>
          <w:szCs w:val="28"/>
          <w14:ligatures w14:val="standardContextual"/>
        </w:rPr>
        <w:t xml:space="preserve">N.Y. </w:t>
      </w:r>
      <w:r w:rsidRPr="00C43543">
        <w:rPr>
          <w:rFonts w:ascii="Adobe Garamond Pro" w:hAnsi="Adobe Garamond Pro"/>
          <w:noProof/>
          <w:szCs w:val="28"/>
          <w14:ligatures w14:val="standardContextual"/>
        </w:rPr>
        <w:t>1961)</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77</w:t>
      </w:r>
    </w:p>
    <w:p w14:paraId="78A43DAD"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L.M. ex rel. Dussault v. Hamilton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193 Wn.2d 113, 436 P.3d 803 (2019)</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4FDF0843" w14:textId="53EAA04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La Plante v. American Honda Motor Co.,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27 F.3d 731 (1st Cir. 1994)</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55</w:t>
      </w:r>
    </w:p>
    <w:p w14:paraId="3A4CDA44" w14:textId="0DEBD14B"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Lakey v. Puget Sound Energy,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176 Wn.2d 909, 296 P.3d 860 (2013)</w:t>
      </w:r>
      <w:r w:rsidRPr="00C43543">
        <w:rPr>
          <w:rFonts w:ascii="Adobe Garamond Pro" w:hAnsi="Adobe Garamond Pro"/>
          <w:noProof/>
          <w:szCs w:val="28"/>
          <w14:ligatures w14:val="standardContextual"/>
        </w:rPr>
        <w:tab/>
      </w:r>
      <w:r w:rsidR="00BF7D7E" w:rsidRPr="00C43543">
        <w:rPr>
          <w:rFonts w:ascii="Adobe Garamond Pro" w:hAnsi="Adobe Garamond Pro"/>
          <w:noProof/>
          <w:szCs w:val="28"/>
          <w14:ligatures w14:val="standardContextual"/>
        </w:rPr>
        <w:t>96, 101, 102, 108</w:t>
      </w:r>
    </w:p>
    <w:p w14:paraId="315E3A12" w14:textId="0753453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Largent v. Pelikan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628 S.W.3d 162 (Mo. Ct. App. 2021)</w:t>
      </w:r>
      <w:r w:rsidRPr="00C43543">
        <w:rPr>
          <w:rFonts w:ascii="Adobe Garamond Pro" w:hAnsi="Adobe Garamond Pro"/>
          <w:noProof/>
          <w:szCs w:val="28"/>
          <w14:ligatures w14:val="standardContextual"/>
        </w:rPr>
        <w:tab/>
      </w:r>
      <w:r w:rsidR="009452E5" w:rsidRPr="00C43543">
        <w:rPr>
          <w:rFonts w:ascii="Adobe Garamond Pro" w:hAnsi="Adobe Garamond Pro"/>
          <w:noProof/>
          <w:szCs w:val="28"/>
          <w14:ligatures w14:val="standardContextual"/>
        </w:rPr>
        <w:t>73</w:t>
      </w:r>
    </w:p>
    <w:p w14:paraId="06E69671" w14:textId="62AAE0B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Lay v. P&amp;G Health Care,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37 S.W.3d 310 (Mo. Ct. App. 2000)</w:t>
      </w:r>
      <w:r w:rsidRPr="00C43543">
        <w:rPr>
          <w:rFonts w:ascii="Adobe Garamond Pro" w:hAnsi="Adobe Garamond Pro"/>
          <w:noProof/>
          <w:szCs w:val="28"/>
          <w14:ligatures w14:val="standardContextual"/>
        </w:rPr>
        <w:tab/>
      </w:r>
      <w:r w:rsidR="009452E5" w:rsidRPr="00C43543">
        <w:rPr>
          <w:rFonts w:ascii="Adobe Garamond Pro" w:hAnsi="Adobe Garamond Pro"/>
          <w:noProof/>
          <w:szCs w:val="28"/>
          <w14:ligatures w14:val="standardContextual"/>
        </w:rPr>
        <w:t>44</w:t>
      </w:r>
    </w:p>
    <w:p w14:paraId="57260E9E" w14:textId="2BC8630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Lazard Freres v. Prote</w:t>
      </w:r>
      <w:r w:rsidR="00747AC6">
        <w:rPr>
          <w:rFonts w:ascii="Adobe Garamond Pro" w:hAnsi="Adobe Garamond Pro"/>
          <w:i/>
          <w:iCs/>
          <w:noProof/>
          <w:szCs w:val="28"/>
          <w14:ligatures w14:val="standardContextual"/>
        </w:rPr>
        <w:t>c</w:t>
      </w:r>
      <w:r w:rsidRPr="00C43543">
        <w:rPr>
          <w:rFonts w:ascii="Adobe Garamond Pro" w:hAnsi="Adobe Garamond Pro"/>
          <w:i/>
          <w:iCs/>
          <w:noProof/>
          <w:szCs w:val="28"/>
          <w14:ligatures w14:val="standardContextual"/>
        </w:rPr>
        <w:t>tive Life Insurance Co.,</w:t>
      </w:r>
      <w:r w:rsidRPr="00C43543">
        <w:rPr>
          <w:rFonts w:ascii="Adobe Garamond Pro" w:hAnsi="Adobe Garamond Pro"/>
          <w:i/>
          <w:iCs/>
          <w:noProof/>
          <w:szCs w:val="28"/>
          <w14:ligatures w14:val="standardContextual"/>
        </w:rPr>
        <w:br/>
      </w:r>
      <w:r w:rsidRPr="00C43543">
        <w:rPr>
          <w:rFonts w:ascii="Adobe Garamond Pro" w:hAnsi="Adobe Garamond Pro"/>
          <w:noProof/>
          <w:szCs w:val="28"/>
          <w14:ligatures w14:val="standardContextual"/>
        </w:rPr>
        <w:t>108 F.3d 1531 (2d Cir. 1997)</w:t>
      </w:r>
      <w:r w:rsidRPr="00C43543">
        <w:rPr>
          <w:rFonts w:ascii="Adobe Garamond Pro" w:hAnsi="Adobe Garamond Pro"/>
          <w:noProof/>
          <w:szCs w:val="28"/>
          <w14:ligatures w14:val="standardContextual"/>
        </w:rPr>
        <w:tab/>
      </w:r>
      <w:r w:rsidR="009452E5" w:rsidRPr="00C43543">
        <w:rPr>
          <w:rFonts w:ascii="Adobe Garamond Pro" w:hAnsi="Adobe Garamond Pro"/>
          <w:noProof/>
          <w:szCs w:val="28"/>
          <w14:ligatures w14:val="standardContextual"/>
        </w:rPr>
        <w:t>51</w:t>
      </w:r>
    </w:p>
    <w:p w14:paraId="6A0BAB9F" w14:textId="1DE2984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Leatherman Tool Group, Inc. v. Cooper Industries,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285 F.3d 1146 (9th Cir. 2002)</w:t>
      </w:r>
      <w:r w:rsidRPr="00C43543">
        <w:rPr>
          <w:rFonts w:ascii="Adobe Garamond Pro" w:hAnsi="Adobe Garamond Pro"/>
          <w:noProof/>
          <w:szCs w:val="28"/>
          <w14:ligatures w14:val="standardContextual"/>
        </w:rPr>
        <w:tab/>
      </w:r>
      <w:r w:rsidR="009452E5" w:rsidRPr="00C43543">
        <w:rPr>
          <w:rFonts w:ascii="Adobe Garamond Pro" w:hAnsi="Adobe Garamond Pro"/>
          <w:noProof/>
          <w:szCs w:val="28"/>
          <w14:ligatures w14:val="standardContextual"/>
        </w:rPr>
        <w:t>157</w:t>
      </w:r>
    </w:p>
    <w:p w14:paraId="5CC3E600" w14:textId="693C524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Lewis v. Simpson Timber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145 Wn. App. 302, 189 P.3d 178 (2008)</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122</w:t>
      </w:r>
    </w:p>
    <w:p w14:paraId="625B75C6" w14:textId="2DAE19E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Liberty Synergistics Inc. v. Microflo Ltd.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718 F.3d 138 (2d Cir. 2013)</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52</w:t>
      </w:r>
    </w:p>
    <w:p w14:paraId="69C21CB8" w14:textId="2614B32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Lillegraven v. Tengs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375 P.2d 139 (Ala. 1962)</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53</w:t>
      </w:r>
    </w:p>
    <w:p w14:paraId="675F9580" w14:textId="568CD484" w:rsidR="009F2087" w:rsidRPr="00C43543" w:rsidRDefault="009F2087"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Lopez v. Three Rivers Electric</w:t>
      </w:r>
      <w:r w:rsidR="00FE7008" w:rsidRPr="00C43543">
        <w:rPr>
          <w:rFonts w:ascii="Adobe Garamond Pro" w:hAnsi="Adobe Garamond Pro"/>
          <w:i/>
          <w:iCs/>
          <w:noProof/>
          <w:szCs w:val="28"/>
          <w14:ligatures w14:val="standardContextual"/>
        </w:rPr>
        <w:t>al Co-op,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r>
      <w:r w:rsidR="00FE7008" w:rsidRPr="00C43543">
        <w:rPr>
          <w:rFonts w:ascii="Adobe Garamond Pro" w:hAnsi="Adobe Garamond Pro"/>
          <w:noProof/>
          <w:szCs w:val="28"/>
          <w14:ligatures w14:val="standardContextual"/>
        </w:rPr>
        <w:t>26 S.W.3d 151</w:t>
      </w:r>
      <w:r w:rsidRPr="00C43543">
        <w:rPr>
          <w:rFonts w:ascii="Adobe Garamond Pro" w:hAnsi="Adobe Garamond Pro"/>
          <w:noProof/>
          <w:szCs w:val="28"/>
          <w14:ligatures w14:val="standardContextual"/>
        </w:rPr>
        <w:t xml:space="preserve"> (</w:t>
      </w:r>
      <w:r w:rsidR="00FE7008" w:rsidRPr="00C43543">
        <w:rPr>
          <w:rFonts w:ascii="Adobe Garamond Pro" w:hAnsi="Adobe Garamond Pro"/>
          <w:noProof/>
          <w:szCs w:val="28"/>
          <w14:ligatures w14:val="standardContextual"/>
        </w:rPr>
        <w:t>Mo. 2000</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tab/>
      </w:r>
      <w:r w:rsidR="00FE7008" w:rsidRPr="00C43543">
        <w:rPr>
          <w:rFonts w:ascii="Adobe Garamond Pro" w:hAnsi="Adobe Garamond Pro"/>
          <w:noProof/>
          <w:szCs w:val="28"/>
          <w14:ligatures w14:val="standardContextual"/>
        </w:rPr>
        <w:t>75</w:t>
      </w:r>
    </w:p>
    <w:p w14:paraId="56D4BF58" w14:textId="2F1F782B"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Lunt v. Mount Spokane Skiing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62 Wn. App. 353, 814 P.2d 1189 (1991)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86</w:t>
      </w:r>
    </w:p>
    <w:p w14:paraId="3ABD8084" w14:textId="1A8227D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Mahne v. Ford Motor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900 F.2d 83 (6th. Cir. 1990)</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73</w:t>
      </w:r>
    </w:p>
    <w:p w14:paraId="12F810DD" w14:textId="2054862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Marchesani v. Pellerin-Milnor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269 F.3d 481 (5th Cir. 2001)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73</w:t>
      </w:r>
    </w:p>
    <w:p w14:paraId="51AB97A5" w14:textId="607454D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Marriage of Abel</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76 Wn. App. 536 886 P.2d 1139 (1995)</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61, 62</w:t>
      </w:r>
    </w:p>
    <w:p w14:paraId="3EE578F9"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Martin v. Good Year Tire &amp; Rubber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114 Wn. App. 823 61 P.3d 1196 (2003)</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045EAEBE" w14:textId="32B94AC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Martinez v. Callahan Manufacturing,Inc.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114 Wn. App. 1083 (2003)</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81</w:t>
      </w:r>
    </w:p>
    <w:p w14:paraId="3F627109" w14:textId="0C724F8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Mikelsen v. Air &amp; Liquid Systems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2018 WL 4899305 (W.D. Wash. Oct. 9, 2018)</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87, 89</w:t>
      </w:r>
    </w:p>
    <w:p w14:paraId="3E974115" w14:textId="73A8853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Mitchell v. Lone Star Ammunition,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913 F.2d 242 (5th Cir. 1990)</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48</w:t>
      </w:r>
    </w:p>
    <w:p w14:paraId="4BA8A229" w14:textId="0276209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Moore v. Ford Motor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332 S.W.3d 749 (Mo. 2011)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151</w:t>
      </w:r>
    </w:p>
    <w:p w14:paraId="1F61EF70" w14:textId="0F8837E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Nazar v. Harbor Freight Tools USA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2019 WL 2066127 (E.D. Wash. Mar. 8, 2019)</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66</w:t>
      </w:r>
    </w:p>
    <w:p w14:paraId="0B2B6EC9" w14:textId="22558AD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1412EA">
        <w:rPr>
          <w:rFonts w:ascii="Adobe Garamond Pro" w:hAnsi="Adobe Garamond Pro"/>
          <w:i/>
          <w:iCs/>
          <w:noProof/>
          <w:szCs w:val="28"/>
          <w14:ligatures w14:val="standardContextual"/>
        </w:rPr>
        <w:t>Newmont USA Ltd. v. American Home Assuranc</w:t>
      </w:r>
      <w:r w:rsidRPr="00C43543">
        <w:rPr>
          <w:rFonts w:ascii="Adobe Garamond Pro" w:hAnsi="Adobe Garamond Pro"/>
          <w:i/>
          <w:iCs/>
          <w:noProof/>
          <w:szCs w:val="28"/>
          <w14:ligatures w14:val="standardContextual"/>
        </w:rPr>
        <w:t>e</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676 F. Supp. 2d 1146 (E.D. Wash. 2009)</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56</w:t>
      </w:r>
    </w:p>
    <w:p w14:paraId="1C45D95B" w14:textId="0950150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Northwest Pipeline Corp. v. Adams County</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132 W</w:t>
      </w:r>
      <w:r w:rsidR="003B6E73" w:rsidRPr="00C43543">
        <w:rPr>
          <w:rFonts w:ascii="Adobe Garamond Pro" w:hAnsi="Adobe Garamond Pro"/>
          <w:noProof/>
          <w:szCs w:val="28"/>
          <w14:ligatures w14:val="standardContextual"/>
        </w:rPr>
        <w:t>n</w:t>
      </w:r>
      <w:r w:rsidRPr="00C43543">
        <w:rPr>
          <w:rFonts w:ascii="Adobe Garamond Pro" w:hAnsi="Adobe Garamond Pro"/>
          <w:noProof/>
          <w:szCs w:val="28"/>
          <w14:ligatures w14:val="standardContextual"/>
        </w:rPr>
        <w:t>. App. 470, 131 P.3d 958 (2006)</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121, 122</w:t>
      </w:r>
    </w:p>
    <w:p w14:paraId="3EB044B6" w14:textId="7928064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Nye v. Bayer Cropscience,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347 S.W.3d 686 (Tenn. 2011)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85, 92</w:t>
      </w:r>
    </w:p>
    <w:p w14:paraId="0B48CCFE" w14:textId="216E235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O’Connell v. MacNeil Wash System Ltd.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 Wn. App. 2d 238, 409 P.3d 1107 (2017)</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83</w:t>
      </w:r>
    </w:p>
    <w:p w14:paraId="02ECDBB5"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Old Chief v. United States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519 U.S. 172 (1997)</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53B56168" w14:textId="513E9CA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Ondrisek v. Hoffman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698 F.3d 1020 (8th Cir. 2012)</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162</w:t>
      </w:r>
    </w:p>
    <w:p w14:paraId="6A0D680B" w14:textId="7D812175" w:rsidR="00756155" w:rsidRPr="00C43543" w:rsidRDefault="00756155"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szCs w:val="28"/>
          <w14:ligatures w14:val="standardContextual"/>
        </w:rPr>
        <w:t>Orr v. Shell Oil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r>
      <w:r w:rsidRPr="00C43543">
        <w:rPr>
          <w:rFonts w:ascii="Adobe Garamond Pro" w:hAnsi="Adobe Garamond Pro"/>
          <w:szCs w:val="28"/>
          <w14:ligatures w14:val="standardContextual"/>
        </w:rPr>
        <w:t>177 S.W.2d 608</w:t>
      </w:r>
      <w:r w:rsidRPr="00C43543">
        <w:rPr>
          <w:rFonts w:ascii="Adobe Garamond Pro" w:hAnsi="Adobe Garamond Pro"/>
          <w:noProof/>
          <w:szCs w:val="28"/>
          <w14:ligatures w14:val="standardContextual"/>
        </w:rPr>
        <w:t xml:space="preserve"> (</w:t>
      </w:r>
      <w:r w:rsidRPr="00C43543">
        <w:rPr>
          <w:rFonts w:ascii="Adobe Garamond Pro" w:hAnsi="Adobe Garamond Pro"/>
          <w:szCs w:val="28"/>
          <w14:ligatures w14:val="standardContextual"/>
        </w:rPr>
        <w:t>Mo. 1943)</w:t>
      </w:r>
      <w:r w:rsidRPr="00C43543">
        <w:rPr>
          <w:rFonts w:ascii="Adobe Garamond Pro" w:hAnsi="Adobe Garamond Pro"/>
          <w:noProof/>
          <w:szCs w:val="28"/>
          <w14:ligatures w14:val="standardContextual"/>
        </w:rPr>
        <w:tab/>
        <w:t>74</w:t>
      </w:r>
    </w:p>
    <w:p w14:paraId="7066A487" w14:textId="73365AB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Pacific Mutual Life Insurance Co. v. Haslip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499 U.S. 1 (1991)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154, 158, 160</w:t>
      </w:r>
    </w:p>
    <w:p w14:paraId="2CC2C668" w14:textId="03782AB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Paetsch v. Spokane Dermatology Clinic, P.S.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182 Wn.2d 842, 348 P.3d 389 (2015)</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145</w:t>
      </w:r>
    </w:p>
    <w:p w14:paraId="474244E5" w14:textId="455D3EC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Parkins v. Van Doren Sales,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45 Wn. App. 19, 724 P.2d 389 (1986)</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81</w:t>
      </w:r>
    </w:p>
    <w:p w14:paraId="5459D91C" w14:textId="14EAE556"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Perea v. Conner</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2015 WL 11111478 (D.N.M. Apr. 8, 2015)</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116</w:t>
      </w:r>
    </w:p>
    <w:p w14:paraId="126CC2DA" w14:textId="23DE4CDC" w:rsidR="00756155" w:rsidRPr="00C43543" w:rsidRDefault="00756155"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eastAsiaTheme="minorHAnsi" w:hAnsi="Adobe Garamond Pro"/>
          <w:i/>
          <w:iCs/>
          <w:szCs w:val="28"/>
          <w14:ligatures w14:val="standardContextual"/>
        </w:rPr>
        <w:t>Perez v. ZTE (U.S.), Inc.</w:t>
      </w:r>
      <w:r w:rsidRPr="00C43543">
        <w:rPr>
          <w:rFonts w:ascii="Adobe Garamond Pro" w:eastAsiaTheme="minorHAnsi" w:hAnsi="Adobe Garamond Pro"/>
          <w:szCs w:val="28"/>
          <w14:ligatures w14:val="standardContextual"/>
        </w:rPr>
        <w:t>,</w:t>
      </w:r>
      <w:r w:rsidRPr="00C43543">
        <w:rPr>
          <w:rFonts w:ascii="Adobe Garamond Pro" w:hAnsi="Adobe Garamond Pro"/>
          <w:noProof/>
          <w:szCs w:val="28"/>
          <w14:ligatures w14:val="standardContextual"/>
        </w:rPr>
        <w:br/>
      </w:r>
      <w:r w:rsidRPr="00C43543">
        <w:rPr>
          <w:rFonts w:ascii="Adobe Garamond Pro" w:eastAsiaTheme="minorHAnsi" w:hAnsi="Adobe Garamond Pro"/>
          <w:szCs w:val="28"/>
          <w14:ligatures w14:val="standardContextual"/>
        </w:rPr>
        <w:t>2020 WL 3798865 (N.D. Tex. July 6, 2020)</w:t>
      </w:r>
      <w:r w:rsidRPr="00C43543">
        <w:rPr>
          <w:rFonts w:ascii="Adobe Garamond Pro" w:hAnsi="Adobe Garamond Pro"/>
          <w:noProof/>
          <w:szCs w:val="28"/>
          <w14:ligatures w14:val="standardContextual"/>
        </w:rPr>
        <w:tab/>
        <w:t>71</w:t>
      </w:r>
    </w:p>
    <w:p w14:paraId="15EAF1CC" w14:textId="374069C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Philip Morris USA v. Williams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549 U.S. 346 (2007)</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157</w:t>
      </w:r>
    </w:p>
    <w:p w14:paraId="714AE4CA" w14:textId="754F747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Phillips Petroleum Co. v. Shutts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r>
      <w:r w:rsidRPr="00C43543">
        <w:rPr>
          <w:rFonts w:ascii="Adobe Garamond Pro" w:hAnsi="Adobe Garamond Pro"/>
          <w:iCs/>
          <w:noProof/>
          <w:szCs w:val="28"/>
          <w14:ligatures w14:val="standardContextual"/>
        </w:rPr>
        <w:t>472 U.S. 797 (1985)</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72</w:t>
      </w:r>
    </w:p>
    <w:p w14:paraId="613816BC" w14:textId="486E0CA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Physicians Insurance Exchange v. Fisons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122 Wn. 2d 299, 858 P.2d 1054 (1993)</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71</w:t>
      </w:r>
    </w:p>
    <w:p w14:paraId="3FCD2627" w14:textId="09F9CC08" w:rsidR="00FD19F3" w:rsidRPr="00C43543" w:rsidRDefault="00FD19F3" w:rsidP="008C0692">
      <w:pPr>
        <w:pStyle w:val="TableofAuthorities"/>
        <w:tabs>
          <w:tab w:val="right" w:leader="dot" w:pos="7190"/>
        </w:tabs>
        <w:spacing w:after="160"/>
        <w:ind w:right="234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Poage v. Crane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523 S.W.3d 496 (Mo. Ct. App. 2017)</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145, 150, 151, 160</w:t>
      </w:r>
    </w:p>
    <w:p w14:paraId="3C3D89AC" w14:textId="1E808D6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Pope Resources L.P. v. Certain Underwriters at Lloyd’s, London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 Wn. App. 2d 113, 494 P.3d 1076 (2021)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42, 72</w:t>
      </w:r>
    </w:p>
    <w:p w14:paraId="1FD76DB8" w14:textId="435DB45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Porter v. Crawford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611 S.W.2d 265 (Mo. Ct. App. 1981)</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75</w:t>
      </w:r>
    </w:p>
    <w:p w14:paraId="527CB5CC" w14:textId="7811F93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Potter v. Department of Labor &amp; Industries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172 Wn. App. 301, 289 P.3d 727 (2012)</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122</w:t>
      </w:r>
      <w:r w:rsidR="005430B2" w:rsidRPr="00C43543">
        <w:rPr>
          <w:rFonts w:ascii="Adobe Garamond Pro" w:hAnsi="Adobe Garamond Pro"/>
          <w:noProof/>
          <w:szCs w:val="28"/>
          <w14:ligatures w14:val="standardContextual"/>
        </w:rPr>
        <w:t>, 125</w:t>
      </w:r>
    </w:p>
    <w:p w14:paraId="155724EF" w14:textId="05FAFD3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Raney v. Owens-Illinois,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897 F.2d 94 (2d Cir. 1990)</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132, 133</w:t>
      </w:r>
    </w:p>
    <w:p w14:paraId="4B30A5C9" w14:textId="32FD5AB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Reese v. Stroh</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128 Wn.2d 300, 907 P.2d 282 (1995)</w:t>
      </w:r>
      <w:r w:rsidRPr="00C43543">
        <w:rPr>
          <w:rFonts w:ascii="Adobe Garamond Pro" w:hAnsi="Adobe Garamond Pro"/>
          <w:noProof/>
          <w:szCs w:val="28"/>
          <w14:ligatures w14:val="standardContextual"/>
        </w:rPr>
        <w:tab/>
      </w:r>
      <w:r w:rsidR="00C7298C" w:rsidRPr="00C43543">
        <w:rPr>
          <w:rFonts w:ascii="Adobe Garamond Pro" w:hAnsi="Adobe Garamond Pro"/>
          <w:noProof/>
          <w:szCs w:val="28"/>
          <w14:ligatures w14:val="standardContextual"/>
        </w:rPr>
        <w:t>95</w:t>
      </w:r>
    </w:p>
    <w:p w14:paraId="2454FC5E" w14:textId="4C40E66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Rice v. Dow Chemical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124 Wn.2d 205, 875 P.2d 1213 (1994)</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54, 55, 60</w:t>
      </w:r>
    </w:p>
    <w:p w14:paraId="6B626EA6" w14:textId="7451F3BC"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Riggins v. Bechtel Power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44 Wn. App. 244, 722 P.2d 819 (1986)</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139</w:t>
      </w:r>
    </w:p>
    <w:p w14:paraId="3A3BC19A" w14:textId="1FC4D8BF"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Rinker v. Ford Motor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567 S.W.2d 655 (Mo. App. 1978)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69</w:t>
      </w:r>
    </w:p>
    <w:p w14:paraId="217F0EFC" w14:textId="08412F3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Rublee v. Carrier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192 Wn.2d 190, 428 P.3d 1207 (2018)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84, 85</w:t>
      </w:r>
    </w:p>
    <w:p w14:paraId="226E8B74" w14:textId="70D3174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Sacred Heart Medical Center v. Carrado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92 Wn.2d 631, 600 P.2d 1015 (1979)</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126</w:t>
      </w:r>
    </w:p>
    <w:p w14:paraId="05E89392" w14:textId="5B48EC8F"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Schmidt v. Coogan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162 Wn.2d 488, 173 P.3d 273 (2007)</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145</w:t>
      </w:r>
    </w:p>
    <w:p w14:paraId="467204E1" w14:textId="70481CC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School District of Independence v. U.S. Gypsum Co.,</w:t>
      </w:r>
      <w:r w:rsidRPr="00C43543">
        <w:rPr>
          <w:rFonts w:ascii="Adobe Garamond Pro" w:hAnsi="Adobe Garamond Pro"/>
          <w:noProof/>
          <w:szCs w:val="28"/>
          <w14:ligatures w14:val="standardContextual"/>
        </w:rPr>
        <w:br/>
        <w:t>750 S.W.2d 442 (Mo. Ct. App. 1988)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151</w:t>
      </w:r>
    </w:p>
    <w:p w14:paraId="19843803" w14:textId="35A0D0CF" w:rsidR="008B14A7" w:rsidRPr="00C43543" w:rsidRDefault="008B14A7"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Segura v. Cabrera</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179 W</w:t>
      </w:r>
      <w:r w:rsidR="003B6E73" w:rsidRPr="00C43543">
        <w:rPr>
          <w:rFonts w:ascii="Adobe Garamond Pro" w:hAnsi="Adobe Garamond Pro"/>
          <w:noProof/>
          <w:szCs w:val="28"/>
          <w14:ligatures w14:val="standardContextual"/>
        </w:rPr>
        <w:t>n</w:t>
      </w:r>
      <w:r w:rsidRPr="00C43543">
        <w:rPr>
          <w:rFonts w:ascii="Adobe Garamond Pro" w:hAnsi="Adobe Garamond Pro"/>
          <w:noProof/>
          <w:szCs w:val="28"/>
          <w14:ligatures w14:val="standardContextual"/>
        </w:rPr>
        <w:t>. App. 630, 319 P.3d 98 (2014)</w:t>
      </w:r>
      <w:r w:rsidRPr="00C43543">
        <w:rPr>
          <w:rFonts w:ascii="Adobe Garamond Pro" w:hAnsi="Adobe Garamond Pro"/>
          <w:noProof/>
          <w:szCs w:val="28"/>
          <w14:ligatures w14:val="standardContextual"/>
        </w:rPr>
        <w:tab/>
        <w:t>56</w:t>
      </w:r>
    </w:p>
    <w:p w14:paraId="1F321876" w14:textId="29EDB43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Seizer v. Sessions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132 Wn.2d 642, 940 P.2d 261 (1997)</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65</w:t>
      </w:r>
    </w:p>
    <w:p w14:paraId="5FE12FD9" w14:textId="18BD510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Sepulveda–Esquivel v. Central Machine Works,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120 Wn. App. 12, 84 P.3d 895 (2004)</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82</w:t>
      </w:r>
    </w:p>
    <w:p w14:paraId="5CF56E86" w14:textId="6132EF6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Shoemake v. Eli Lilly &amp;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194 Wn. App. 1026 (2016)</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140, 141</w:t>
      </w:r>
    </w:p>
    <w:p w14:paraId="4E9DEA96" w14:textId="777029D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Sico North America, Inc. v. Willis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2009 WL 3365856 (Tex. Ct. App. Sept. 10, 2009)</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73</w:t>
      </w:r>
    </w:p>
    <w:p w14:paraId="1B3D6984" w14:textId="603FF96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Siems v. Bumbo International Trust</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2014 WL 4954068 (W.D. Mo. Oct. 2, 2014)</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152, 153</w:t>
      </w:r>
    </w:p>
    <w:p w14:paraId="1E05AB72" w14:textId="17F33CA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Silverhawk LLC v. KeyBank National Association</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165 Wn. App. 258, 268 P.3d 958 (2011)</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113</w:t>
      </w:r>
    </w:p>
    <w:p w14:paraId="5A8EFA9F" w14:textId="473FD1C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Simon v. Philip Morris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124 F. Supp. 2d 46 (E.D.N.Y. 2000)</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42, 55</w:t>
      </w:r>
    </w:p>
    <w:p w14:paraId="3A31872B" w14:textId="1B760244"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Simonetta v. Viad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165 Wn.2d 341, 197 P.3d 127 (2008)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80, 82</w:t>
      </w:r>
    </w:p>
    <w:p w14:paraId="191B5B8F"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noProof/>
          <w:szCs w:val="28"/>
          <w14:ligatures w14:val="standardContextual"/>
        </w:rPr>
        <w:t>Singh v. Edwards Lifesciences</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151 Wn. App. 137, 210 P.3d 337 (2009)</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499435BF" w14:textId="5498465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Smith v. Firestone Tire &amp; Rubber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755 F.2d 129 (8th Cir. 1985)</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75</w:t>
      </w:r>
    </w:p>
    <w:p w14:paraId="55DEAE16" w14:textId="5E5ABB66" w:rsidR="00FD19F3" w:rsidRPr="00C43543" w:rsidRDefault="00FD19F3" w:rsidP="008C0692">
      <w:pPr>
        <w:pStyle w:val="TableofAuthorities"/>
        <w:tabs>
          <w:tab w:val="right" w:leader="dot" w:pos="7190"/>
        </w:tabs>
        <w:spacing w:after="160"/>
        <w:ind w:right="72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Farm Mutual Auto. Insurance Co. v. ANC Rental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2008 WL 4149006 (Ariz. Ct. App. Apr. 3, 2008)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57</w:t>
      </w:r>
    </w:p>
    <w:p w14:paraId="5AC969B1" w14:textId="7427D031" w:rsidR="00FD19F3" w:rsidRPr="00C43543" w:rsidRDefault="00FD19F3" w:rsidP="008C0692">
      <w:pPr>
        <w:pStyle w:val="TableofAuthorities"/>
        <w:tabs>
          <w:tab w:val="right" w:leader="dot" w:pos="7190"/>
        </w:tabs>
        <w:spacing w:after="160"/>
        <w:ind w:right="108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Farm Mutual Automobile Insurance Co. v. Campbell</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538 U.S. 408 (2003)</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4, 153</w:t>
      </w:r>
    </w:p>
    <w:p w14:paraId="7BE8941F" w14:textId="57F4FC6F"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Arbogast</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199 Wn.2d 356, 506 P.3d 1238 (2022)</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87</w:t>
      </w:r>
    </w:p>
    <w:p w14:paraId="24876DE3" w14:textId="7372348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Baity</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140 Wn.2d 1, 991 P.2d 1151 (2000)</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95</w:t>
      </w:r>
    </w:p>
    <w:p w14:paraId="7A8F646B" w14:textId="79DA2E3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Barker</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103 Wn. App. 893, 14 P.3d 863 (2000)</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87</w:t>
      </w:r>
    </w:p>
    <w:p w14:paraId="0E7F0C28" w14:textId="418B1FAA" w:rsidR="00B3131E" w:rsidRPr="00C43543" w:rsidRDefault="00B3131E"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Copeland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130 Wn.2d 244, 922 P.2d 1304 (1996)</w:t>
      </w:r>
      <w:r w:rsidRPr="00C43543">
        <w:rPr>
          <w:rFonts w:ascii="Adobe Garamond Pro" w:hAnsi="Adobe Garamond Pro"/>
          <w:noProof/>
          <w:szCs w:val="28"/>
          <w14:ligatures w14:val="standardContextual"/>
        </w:rPr>
        <w:tab/>
        <w:t>106</w:t>
      </w:r>
    </w:p>
    <w:p w14:paraId="6A0C5D98" w14:textId="278CD7A1"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Gentry</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125 Wn.2d 570, 888 P.2d 1105 (1995)</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110</w:t>
      </w:r>
    </w:p>
    <w:p w14:paraId="776F92D1" w14:textId="21EA635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Gregory</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158 Wn.2d 759, 147 P.3d 1201 (2006)</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113</w:t>
      </w:r>
    </w:p>
    <w:p w14:paraId="0E604CC5" w14:textId="20ABAA9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King</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 Wn. App. 2d 1012 (2019)</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144</w:t>
      </w:r>
    </w:p>
    <w:p w14:paraId="1F6DEA53" w14:textId="4EF8498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State v. Picard</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90 Wn. App. 890, 954 P.2d 336 (1998)</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86</w:t>
      </w:r>
    </w:p>
    <w:p w14:paraId="56C333F0" w14:textId="2F0163BD"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lastRenderedPageBreak/>
        <w:t>State v. Russell</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125 Wn.2d 24, 882 P.2d 747 (1994)</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95</w:t>
      </w:r>
    </w:p>
    <w:p w14:paraId="19AC6A76" w14:textId="2543B8D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Stevens v. Missouri Pacific Railroad Co.,</w:t>
      </w:r>
      <w:r w:rsidRPr="00C43543">
        <w:rPr>
          <w:rFonts w:ascii="Adobe Garamond Pro" w:hAnsi="Adobe Garamond Pro"/>
          <w:noProof/>
          <w:szCs w:val="28"/>
          <w14:ligatures w14:val="standardContextual"/>
        </w:rPr>
        <w:br/>
        <w:t>355 S.W.2d 122 (Mo. 1962)</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78</w:t>
      </w:r>
    </w:p>
    <w:p w14:paraId="178623B9" w14:textId="33FFF413" w:rsidR="00FE7008" w:rsidRPr="00C43543" w:rsidRDefault="00FE7008"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Stanger v. Smith &amp; Nephew, Inc.,</w:t>
      </w:r>
      <w:r w:rsidRPr="00C43543">
        <w:rPr>
          <w:rFonts w:ascii="Adobe Garamond Pro" w:hAnsi="Adobe Garamond Pro"/>
          <w:noProof/>
          <w:szCs w:val="28"/>
          <w14:ligatures w14:val="standardContextual"/>
        </w:rPr>
        <w:br/>
        <w:t>401 F. Supp. 2d 974 (E.D. Mo. 2005)</w:t>
      </w:r>
      <w:r w:rsidRPr="00C43543">
        <w:rPr>
          <w:rFonts w:ascii="Adobe Garamond Pro" w:hAnsi="Adobe Garamond Pro"/>
          <w:noProof/>
          <w:szCs w:val="28"/>
          <w14:ligatures w14:val="standardContextual"/>
        </w:rPr>
        <w:tab/>
        <w:t>75</w:t>
      </w:r>
    </w:p>
    <w:p w14:paraId="067CF668" w14:textId="0B322CC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Toftoy v. Ocean Shores Properties,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71 Wn.2d 833, 431 P.2d 212 (1967)</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136</w:t>
      </w:r>
    </w:p>
    <w:p w14:paraId="0305967A" w14:textId="53146BB3"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Trenado v. Cooper Tire &amp; Rubber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2010 WL 9546053 (S.D. Tex. Jan. 26, 2010)</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52</w:t>
      </w:r>
    </w:p>
    <w:p w14:paraId="086A7D9F" w14:textId="6FCDBAF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TXO Production Corp. v. Alliance Resources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509 U.S. 443 (1993)</w:t>
      </w:r>
      <w:r w:rsidRPr="00C43543">
        <w:rPr>
          <w:rFonts w:ascii="Adobe Garamond Pro" w:hAnsi="Adobe Garamond Pro"/>
          <w:noProof/>
          <w:szCs w:val="28"/>
          <w14:ligatures w14:val="standardContextual"/>
        </w:rPr>
        <w:tab/>
      </w:r>
      <w:r w:rsidR="0049081C" w:rsidRPr="00C43543">
        <w:rPr>
          <w:rFonts w:ascii="Adobe Garamond Pro" w:hAnsi="Adobe Garamond Pro"/>
          <w:noProof/>
          <w:szCs w:val="28"/>
          <w14:ligatures w14:val="standardContextual"/>
        </w:rPr>
        <w:t>154, 159, 161</w:t>
      </w:r>
    </w:p>
    <w:p w14:paraId="7861F22F" w14:textId="2E3C64A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United States v. Angelini</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607 F.2d 1305 (9th Cir. 1979)</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137</w:t>
      </w:r>
    </w:p>
    <w:p w14:paraId="6094F976" w14:textId="6F598FCA"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eastAsiaTheme="minorHAnsi" w:hAnsi="Adobe Garamond Pro"/>
          <w:i/>
          <w:iCs/>
          <w:noProof/>
          <w:szCs w:val="28"/>
          <w14:ligatures w14:val="standardContextual"/>
        </w:rPr>
        <w:t>Washington Water Power Co. v. Graybar Electric Co.</w:t>
      </w:r>
      <w:r w:rsidRPr="00C43543">
        <w:rPr>
          <w:rFonts w:ascii="Adobe Garamond Pro" w:eastAsiaTheme="minorHAnsi" w:hAnsi="Adobe Garamond Pro"/>
          <w:noProof/>
          <w:szCs w:val="28"/>
          <w14:ligatures w14:val="standardContextual"/>
        </w:rPr>
        <w:t>,</w:t>
      </w:r>
      <w:r w:rsidRPr="00C43543">
        <w:rPr>
          <w:rFonts w:ascii="Adobe Garamond Pro" w:eastAsiaTheme="minorHAnsi" w:hAnsi="Adobe Garamond Pro"/>
          <w:noProof/>
          <w:szCs w:val="28"/>
          <w14:ligatures w14:val="standardContextual"/>
        </w:rPr>
        <w:br/>
        <w:t>112 Wn.2d 847, 774 P.2d 1199 (1989)</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71</w:t>
      </w:r>
    </w:p>
    <w:p w14:paraId="4E331349" w14:textId="508FDE62"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Webb v. Special Electric Co.</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63 Cal. 4th 167, 370 P.3d 1022 (2016)</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90</w:t>
      </w:r>
    </w:p>
    <w:p w14:paraId="1877B52F" w14:textId="65C6C33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Wilcox v. Basehore</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187 Wn.2d 772, 389 P.3d 531 (2017)</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149</w:t>
      </w:r>
    </w:p>
    <w:p w14:paraId="436E8180" w14:textId="2BC80F30"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Willis v. Raymark Industries,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905 F.2d 793 (4th Cir. 1990)</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89, 90</w:t>
      </w:r>
    </w:p>
    <w:p w14:paraId="016AD289" w14:textId="1A03D8FB"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Zamora v. Mobil Corp.</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104 Wn.2d 199, 704 P.2d 584 (1985)</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86</w:t>
      </w:r>
    </w:p>
    <w:p w14:paraId="7A1B8CBC" w14:textId="3FC8A391" w:rsidR="00FD19F3" w:rsidRPr="00C43543" w:rsidRDefault="00FD19F3" w:rsidP="008C0692">
      <w:pPr>
        <w:pStyle w:val="TableofAuthorities"/>
        <w:tabs>
          <w:tab w:val="right" w:leader="dot" w:pos="7190"/>
        </w:tabs>
        <w:spacing w:after="160"/>
        <w:rPr>
          <w:rFonts w:ascii="Adobe Garamond Pro" w:hAnsi="Adobe Garamond Pro"/>
          <w:i/>
          <w:iCs/>
          <w:noProof/>
          <w:szCs w:val="28"/>
          <w14:ligatures w14:val="standardContextual"/>
        </w:rPr>
      </w:pPr>
      <w:r w:rsidRPr="00C43543">
        <w:rPr>
          <w:rFonts w:ascii="Adobe Garamond Pro" w:hAnsi="Adobe Garamond Pro"/>
          <w:i/>
          <w:iCs/>
          <w:noProof/>
          <w:szCs w:val="28"/>
          <w14:ligatures w14:val="standardContextual"/>
        </w:rPr>
        <w:t>Zenaida-Garcia v. Recovery Systems Technology, Inc.</w:t>
      </w:r>
      <w:r w:rsidRPr="00C43543">
        <w:rPr>
          <w:rFonts w:ascii="Adobe Garamond Pro" w:hAnsi="Adobe Garamond Pro"/>
          <w:noProof/>
          <w:szCs w:val="28"/>
          <w14:ligatures w14:val="standardContextual"/>
        </w:rPr>
        <w:t>,</w:t>
      </w:r>
      <w:r w:rsidRPr="00C43543">
        <w:rPr>
          <w:rFonts w:ascii="Adobe Garamond Pro" w:hAnsi="Adobe Garamond Pro"/>
          <w:noProof/>
          <w:szCs w:val="28"/>
          <w14:ligatures w14:val="standardContextual"/>
        </w:rPr>
        <w:br/>
        <w:t>128 Wn. App. 256, 115 P.3d 1017 (2005)</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0F37BF9B" w14:textId="77777777" w:rsidR="00AC0746" w:rsidRPr="00C43543" w:rsidRDefault="00AC0746" w:rsidP="008C0692">
      <w:pPr>
        <w:spacing w:after="160"/>
        <w:rPr>
          <w:szCs w:val="28"/>
          <w:lang w:eastAsia="ja-JP"/>
          <w14:ligatures w14:val="standardContextual"/>
        </w:rPr>
      </w:pPr>
    </w:p>
    <w:p w14:paraId="52C31E2F" w14:textId="77777777" w:rsidR="00310865" w:rsidRPr="00C43543" w:rsidRDefault="00FD19F3" w:rsidP="00310865">
      <w:pPr>
        <w:pStyle w:val="TableofAuthorities"/>
        <w:tabs>
          <w:tab w:val="right" w:leader="dot" w:pos="7190"/>
        </w:tabs>
        <w:spacing w:after="160"/>
        <w:rPr>
          <w:rFonts w:ascii="Adobe Garamond Pro" w:hAnsi="Adobe Garamond Pro"/>
          <w:b/>
          <w:bCs/>
          <w:noProof/>
          <w:szCs w:val="28"/>
          <w14:ligatures w14:val="standardContextual"/>
        </w:rPr>
      </w:pPr>
      <w:r w:rsidRPr="00E405C4">
        <w:rPr>
          <w:rFonts w:ascii="Adobe Garamond Pro" w:hAnsi="Adobe Garamond Pro"/>
          <w:b/>
          <w:bCs/>
          <w:szCs w:val="28"/>
          <w14:ligatures w14:val="standardContextual"/>
        </w:rPr>
        <w:lastRenderedPageBreak/>
        <w:fldChar w:fldCharType="end"/>
      </w:r>
      <w:r w:rsidR="00310865" w:rsidRPr="00E405C4">
        <w:rPr>
          <w:rFonts w:ascii="Adobe Garamond Pro" w:hAnsi="Adobe Garamond Pro"/>
          <w:b/>
          <w:bCs/>
          <w:szCs w:val="28"/>
          <w14:ligatures w14:val="standardContextual"/>
        </w:rPr>
        <w:fldChar w:fldCharType="begin"/>
      </w:r>
      <w:r w:rsidR="00310865" w:rsidRPr="00E405C4">
        <w:rPr>
          <w:rFonts w:ascii="Adobe Garamond Pro" w:hAnsi="Adobe Garamond Pro"/>
          <w:b/>
          <w:bCs/>
          <w:szCs w:val="28"/>
          <w14:ligatures w14:val="standardContextual"/>
        </w:rPr>
        <w:instrText xml:space="preserve"> TOA \h \c "2" \p </w:instrText>
      </w:r>
      <w:r w:rsidR="00310865" w:rsidRPr="00E405C4">
        <w:rPr>
          <w:rFonts w:ascii="Adobe Garamond Pro" w:hAnsi="Adobe Garamond Pro"/>
          <w:b/>
          <w:bCs/>
          <w:szCs w:val="28"/>
          <w14:ligatures w14:val="standardContextual"/>
        </w:rPr>
        <w:fldChar w:fldCharType="separate"/>
      </w:r>
      <w:r w:rsidR="00310865" w:rsidRPr="00C43543">
        <w:rPr>
          <w:rFonts w:ascii="Adobe Garamond Pro" w:hAnsi="Adobe Garamond Pro"/>
          <w:b/>
          <w:bCs/>
          <w:noProof/>
          <w:szCs w:val="28"/>
          <w14:ligatures w14:val="standardContextual"/>
        </w:rPr>
        <w:t>Statutes</w:t>
      </w:r>
    </w:p>
    <w:p w14:paraId="2269E3A4"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Missouri Revised Statutes § 510.262</w:t>
      </w:r>
      <w:r w:rsidRPr="00C43543">
        <w:rPr>
          <w:rFonts w:ascii="Adobe Garamond Pro" w:hAnsi="Adobe Garamond Pro"/>
          <w:noProof/>
          <w:szCs w:val="28"/>
          <w14:ligatures w14:val="standardContextual"/>
        </w:rPr>
        <w:tab/>
        <w:t>74</w:t>
      </w:r>
    </w:p>
    <w:p w14:paraId="534EDA00"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Nebraska Revised Statutes § 25-224</w:t>
      </w:r>
      <w:r w:rsidRPr="00C43543">
        <w:rPr>
          <w:rFonts w:ascii="Adobe Garamond Pro" w:hAnsi="Adobe Garamond Pro"/>
          <w:noProof/>
          <w:szCs w:val="28"/>
          <w14:ligatures w14:val="standardContextual"/>
        </w:rPr>
        <w:tab/>
        <w:t>56, 60</w:t>
      </w:r>
    </w:p>
    <w:p w14:paraId="130E2086"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Oregon Revised Statutes § 30.905</w:t>
      </w:r>
      <w:r w:rsidRPr="00C43543">
        <w:rPr>
          <w:rFonts w:ascii="Adobe Garamond Pro" w:hAnsi="Adobe Garamond Pro"/>
          <w:noProof/>
          <w:szCs w:val="28"/>
          <w14:ligatures w14:val="standardContextual"/>
        </w:rPr>
        <w:tab/>
        <w:t>56, 60</w:t>
      </w:r>
    </w:p>
    <w:p w14:paraId="20026516"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26.19.075</w:t>
      </w:r>
      <w:r w:rsidRPr="00C43543">
        <w:rPr>
          <w:rFonts w:ascii="Adobe Garamond Pro" w:hAnsi="Adobe Garamond Pro"/>
          <w:noProof/>
          <w:szCs w:val="28"/>
          <w14:ligatures w14:val="standardContextual"/>
        </w:rPr>
        <w:tab/>
        <w:t>62</w:t>
      </w:r>
    </w:p>
    <w:p w14:paraId="16ECBD82"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4.18.020</w:t>
      </w:r>
      <w:r w:rsidRPr="00C43543">
        <w:rPr>
          <w:rFonts w:ascii="Adobe Garamond Pro" w:hAnsi="Adobe Garamond Pro"/>
          <w:noProof/>
          <w:szCs w:val="28"/>
          <w14:ligatures w14:val="standardContextual"/>
        </w:rPr>
        <w:tab/>
        <w:t>60</w:t>
      </w:r>
    </w:p>
    <w:p w14:paraId="132EE6C4"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7.72.010</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0957AC12"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7.72.030</w:t>
      </w:r>
      <w:r w:rsidRPr="00C43543">
        <w:rPr>
          <w:rFonts w:ascii="Adobe Garamond Pro" w:hAnsi="Adobe Garamond Pro"/>
          <w:noProof/>
          <w:szCs w:val="28"/>
          <w14:ligatures w14:val="standardContextual"/>
        </w:rPr>
        <w:tab/>
        <w:t>82</w:t>
      </w:r>
    </w:p>
    <w:p w14:paraId="0370F13B"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26.19.035</w:t>
      </w:r>
      <w:r w:rsidRPr="00C43543">
        <w:rPr>
          <w:rFonts w:ascii="Adobe Garamond Pro" w:hAnsi="Adobe Garamond Pro"/>
          <w:noProof/>
          <w:szCs w:val="28"/>
          <w14:ligatures w14:val="standardContextual"/>
        </w:rPr>
        <w:tab/>
        <w:t>61</w:t>
      </w:r>
    </w:p>
    <w:p w14:paraId="1EE30AE0"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Revised Code of Washington 7.72.060</w:t>
      </w:r>
      <w:r w:rsidRPr="00C43543">
        <w:rPr>
          <w:rFonts w:ascii="Adobe Garamond Pro" w:hAnsi="Adobe Garamond Pro"/>
          <w:noProof/>
          <w:szCs w:val="28"/>
          <w14:ligatures w14:val="standardContextual"/>
        </w:rPr>
        <w:tab/>
        <w:t>44</w:t>
      </w:r>
    </w:p>
    <w:p w14:paraId="0724EDD3" w14:textId="3EE3C4F6"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 xml:space="preserve">Uniform Commercial Code 4-102 </w:t>
      </w:r>
      <w:r w:rsidRPr="00C43543">
        <w:rPr>
          <w:rFonts w:ascii="Adobe Garamond Pro" w:hAnsi="Adobe Garamond Pro"/>
          <w:noProof/>
          <w:szCs w:val="28"/>
          <w14:ligatures w14:val="standardContextual"/>
        </w:rPr>
        <w:tab/>
        <w:t>60</w:t>
      </w:r>
    </w:p>
    <w:p w14:paraId="380FC349" w14:textId="02EB1F1D" w:rsidR="00310865" w:rsidRPr="00310865"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eastAsiaTheme="minorHAnsi" w:hAnsi="Adobe Garamond Pro"/>
          <w:noProof/>
          <w:szCs w:val="28"/>
          <w14:ligatures w14:val="standardContextual"/>
        </w:rPr>
        <w:t>Washington Product Liability Act § 1</w:t>
      </w:r>
      <w:r w:rsidRPr="00C43543">
        <w:rPr>
          <w:rFonts w:ascii="Adobe Garamond Pro" w:hAnsi="Adobe Garamond Pro"/>
          <w:noProof/>
          <w:szCs w:val="28"/>
          <w14:ligatures w14:val="standardContextual"/>
        </w:rPr>
        <w:tab/>
        <w:t>71</w:t>
      </w:r>
    </w:p>
    <w:p w14:paraId="118C3A44" w14:textId="77777777" w:rsidR="00310865" w:rsidRPr="00C43543" w:rsidRDefault="00310865" w:rsidP="00310865">
      <w:pPr>
        <w:pStyle w:val="TOAHeading"/>
        <w:tabs>
          <w:tab w:val="right" w:leader="dot" w:pos="7190"/>
        </w:tabs>
        <w:spacing w:before="0" w:after="160"/>
        <w:rPr>
          <w:rFonts w:ascii="Adobe Garamond Pro" w:eastAsiaTheme="minorEastAsia" w:hAnsi="Adobe Garamond Pro" w:cstheme="minorBidi"/>
          <w:b w:val="0"/>
          <w:bCs w:val="0"/>
          <w:noProof/>
          <w:szCs w:val="28"/>
          <w14:ligatures w14:val="standardContextual"/>
        </w:rPr>
      </w:pPr>
      <w:r w:rsidRPr="00E405C4">
        <w:rPr>
          <w:rFonts w:ascii="Adobe Garamond Pro" w:hAnsi="Adobe Garamond Pro"/>
          <w:b w:val="0"/>
          <w:bCs w:val="0"/>
          <w:szCs w:val="28"/>
          <w14:ligatures w14:val="standardContextual"/>
        </w:rPr>
        <w:fldChar w:fldCharType="end"/>
      </w:r>
      <w:r w:rsidRPr="00E405C4">
        <w:rPr>
          <w:rFonts w:ascii="Adobe Garamond Pro" w:hAnsi="Adobe Garamond Pro"/>
          <w:b w:val="0"/>
          <w:bCs w:val="0"/>
          <w:szCs w:val="28"/>
          <w14:ligatures w14:val="standardContextual"/>
        </w:rPr>
        <w:fldChar w:fldCharType="begin"/>
      </w:r>
      <w:r w:rsidRPr="00E405C4">
        <w:rPr>
          <w:rFonts w:ascii="Adobe Garamond Pro" w:hAnsi="Adobe Garamond Pro"/>
          <w:b w:val="0"/>
          <w:bCs w:val="0"/>
          <w:szCs w:val="28"/>
          <w14:ligatures w14:val="standardContextual"/>
        </w:rPr>
        <w:instrText xml:space="preserve"> TOA \h \c "4" \p </w:instrText>
      </w:r>
      <w:r w:rsidRPr="00E405C4">
        <w:rPr>
          <w:rFonts w:ascii="Adobe Garamond Pro" w:hAnsi="Adobe Garamond Pro"/>
          <w:b w:val="0"/>
          <w:bCs w:val="0"/>
          <w:szCs w:val="28"/>
          <w14:ligatures w14:val="standardContextual"/>
        </w:rPr>
        <w:fldChar w:fldCharType="separate"/>
      </w:r>
      <w:r w:rsidRPr="00C43543">
        <w:rPr>
          <w:rFonts w:ascii="Adobe Garamond Pro" w:hAnsi="Adobe Garamond Pro"/>
          <w:noProof/>
          <w:szCs w:val="28"/>
          <w14:ligatures w14:val="standardContextual"/>
        </w:rPr>
        <w:t>Rules</w:t>
      </w:r>
    </w:p>
    <w:p w14:paraId="4BA4034A" w14:textId="77777777" w:rsidR="00310865" w:rsidRPr="00C43543" w:rsidRDefault="00310865"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Washington Rule of Appellate Procedure 2.5</w:t>
      </w:r>
      <w:r w:rsidRPr="00C43543">
        <w:rPr>
          <w:rFonts w:ascii="Adobe Garamond Pro" w:hAnsi="Adobe Garamond Pro"/>
          <w:noProof/>
          <w:szCs w:val="28"/>
          <w14:ligatures w14:val="standardContextual"/>
        </w:rPr>
        <w:tab/>
        <w:t>113</w:t>
      </w:r>
    </w:p>
    <w:p w14:paraId="576A359A" w14:textId="6E1F1DC0" w:rsidR="00AC0746" w:rsidRPr="00E405C4" w:rsidRDefault="00310865" w:rsidP="00310865">
      <w:pPr>
        <w:pStyle w:val="TOAHeading"/>
        <w:tabs>
          <w:tab w:val="right" w:leader="dot" w:pos="7190"/>
        </w:tabs>
        <w:spacing w:before="0" w:after="160"/>
        <w:rPr>
          <w:rFonts w:ascii="Adobe Garamond Pro" w:hAnsi="Adobe Garamond Pro"/>
          <w:szCs w:val="28"/>
          <w14:ligatures w14:val="standardContextual"/>
        </w:rPr>
      </w:pPr>
      <w:r w:rsidRPr="00E405C4">
        <w:rPr>
          <w:rFonts w:ascii="Adobe Garamond Pro" w:hAnsi="Adobe Garamond Pro"/>
          <w:b w:val="0"/>
          <w:bCs w:val="0"/>
          <w:szCs w:val="28"/>
          <w14:ligatures w14:val="standardContextual"/>
        </w:rPr>
        <w:fldChar w:fldCharType="end"/>
      </w:r>
      <w:r w:rsidR="00AC0746" w:rsidRPr="00E405C4">
        <w:rPr>
          <w:rFonts w:ascii="Adobe Garamond Pro" w:hAnsi="Adobe Garamond Pro"/>
          <w:szCs w:val="28"/>
          <w14:ligatures w14:val="standardContextual"/>
        </w:rPr>
        <w:t>Legislative History</w:t>
      </w:r>
    </w:p>
    <w:p w14:paraId="0783509F" w14:textId="4400763B" w:rsidR="0080152D" w:rsidRPr="00310865" w:rsidRDefault="00AC0746" w:rsidP="00310865">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House Committee on Law &amp; Justice, Rep. on S. 3158 (Wash. Comm. Rec. 1981)</w:t>
      </w:r>
      <w:r w:rsidRPr="00C43543">
        <w:rPr>
          <w:rFonts w:ascii="Adobe Garamond Pro" w:hAnsi="Adobe Garamond Pro"/>
          <w:noProof/>
          <w:szCs w:val="28"/>
          <w14:ligatures w14:val="standardContextual"/>
        </w:rPr>
        <w:tab/>
        <w:t>48</w:t>
      </w:r>
    </w:p>
    <w:p w14:paraId="754505CA" w14:textId="60C494AA" w:rsidR="0041704C" w:rsidRPr="00310865" w:rsidRDefault="00FD19F3" w:rsidP="00310865">
      <w:pPr>
        <w:pStyle w:val="TOAHeading"/>
        <w:tabs>
          <w:tab w:val="right" w:leader="dot" w:pos="7190"/>
        </w:tabs>
        <w:spacing w:before="0" w:after="160"/>
        <w:rPr>
          <w:rFonts w:ascii="Adobe Garamond Pro" w:eastAsiaTheme="minorEastAsia" w:hAnsi="Adobe Garamond Pro" w:cstheme="minorBidi"/>
          <w:b w:val="0"/>
          <w:bCs w:val="0"/>
          <w:noProof/>
          <w:szCs w:val="28"/>
          <w14:ligatures w14:val="standardContextual"/>
        </w:rPr>
      </w:pPr>
      <w:r w:rsidRPr="00E405C4">
        <w:rPr>
          <w:rFonts w:ascii="Adobe Garamond Pro" w:hAnsi="Adobe Garamond Pro"/>
          <w:b w:val="0"/>
          <w:bCs w:val="0"/>
          <w:szCs w:val="28"/>
          <w14:ligatures w14:val="standardContextual"/>
        </w:rPr>
        <w:fldChar w:fldCharType="begin"/>
      </w:r>
      <w:r w:rsidRPr="00E405C4">
        <w:rPr>
          <w:rFonts w:ascii="Adobe Garamond Pro" w:hAnsi="Adobe Garamond Pro"/>
          <w:b w:val="0"/>
          <w:bCs w:val="0"/>
          <w:szCs w:val="28"/>
          <w14:ligatures w14:val="standardContextual"/>
        </w:rPr>
        <w:instrText xml:space="preserve"> TOA \h \c "3" \p </w:instrText>
      </w:r>
      <w:r w:rsidRPr="00E405C4">
        <w:rPr>
          <w:rFonts w:ascii="Adobe Garamond Pro" w:hAnsi="Adobe Garamond Pro"/>
          <w:b w:val="0"/>
          <w:bCs w:val="0"/>
          <w:szCs w:val="28"/>
          <w14:ligatures w14:val="standardContextual"/>
        </w:rPr>
        <w:fldChar w:fldCharType="separate"/>
      </w:r>
      <w:r w:rsidRPr="00C43543">
        <w:rPr>
          <w:rFonts w:ascii="Adobe Garamond Pro" w:hAnsi="Adobe Garamond Pro"/>
          <w:noProof/>
          <w:szCs w:val="28"/>
          <w14:ligatures w14:val="standardContextual"/>
        </w:rPr>
        <w:t>Other Authorities</w:t>
      </w:r>
    </w:p>
    <w:p w14:paraId="27887B00" w14:textId="522262CD" w:rsidR="0041704C" w:rsidRPr="00C43543" w:rsidRDefault="00D553D8" w:rsidP="0041704C">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iCs/>
          <w:noProof/>
          <w:szCs w:val="28"/>
          <w14:ligatures w14:val="standardContextual"/>
        </w:rPr>
        <w:t xml:space="preserve">Valena E. </w:t>
      </w:r>
      <w:r w:rsidR="0041704C" w:rsidRPr="00C43543">
        <w:rPr>
          <w:rFonts w:ascii="Adobe Garamond Pro" w:hAnsi="Adobe Garamond Pro"/>
          <w:iCs/>
          <w:noProof/>
          <w:szCs w:val="28"/>
          <w14:ligatures w14:val="standardContextual"/>
        </w:rPr>
        <w:t xml:space="preserve">Beety &amp; </w:t>
      </w:r>
      <w:r w:rsidRPr="00A859B7">
        <w:rPr>
          <w:rFonts w:ascii="Adobe Garamond Pro" w:hAnsi="Adobe Garamond Pro"/>
          <w:iCs/>
          <w:noProof/>
          <w:szCs w:val="28"/>
          <w14:ligatures w14:val="standardContextual"/>
        </w:rPr>
        <w:t>Jennifer D.</w:t>
      </w:r>
      <w:r w:rsidR="00B77C9D">
        <w:rPr>
          <w:rFonts w:ascii="Adobe Garamond Pro" w:hAnsi="Adobe Garamond Pro"/>
          <w:iCs/>
          <w:noProof/>
          <w:szCs w:val="28"/>
          <w14:ligatures w14:val="standardContextual"/>
        </w:rPr>
        <w:t xml:space="preserve"> </w:t>
      </w:r>
      <w:r w:rsidR="0041704C" w:rsidRPr="00C43543">
        <w:rPr>
          <w:rFonts w:ascii="Adobe Garamond Pro" w:hAnsi="Adobe Garamond Pro"/>
          <w:iCs/>
          <w:noProof/>
          <w:szCs w:val="28"/>
          <w14:ligatures w14:val="standardContextual"/>
        </w:rPr>
        <w:t xml:space="preserve">Olivia, </w:t>
      </w:r>
      <w:r w:rsidR="0041704C" w:rsidRPr="00C43543">
        <w:rPr>
          <w:rFonts w:ascii="Adobe Garamond Pro" w:hAnsi="Adobe Garamond Pro"/>
          <w:iCs/>
          <w:noProof/>
          <w:szCs w:val="28"/>
          <w14:ligatures w14:val="standardContextual"/>
        </w:rPr>
        <w:br/>
      </w:r>
      <w:r w:rsidR="0041704C" w:rsidRPr="00C43543">
        <w:rPr>
          <w:rFonts w:ascii="Adobe Garamond Pro" w:hAnsi="Adobe Garamond Pro"/>
          <w:i/>
          <w:noProof/>
          <w:szCs w:val="28"/>
          <w14:ligatures w14:val="standardContextual"/>
        </w:rPr>
        <w:t>Evidence on Fire</w:t>
      </w:r>
      <w:r w:rsidR="0041704C" w:rsidRPr="00C43543">
        <w:rPr>
          <w:rFonts w:ascii="Adobe Garamond Pro" w:hAnsi="Adobe Garamond Pro"/>
          <w:iCs/>
          <w:noProof/>
          <w:szCs w:val="28"/>
          <w14:ligatures w14:val="standardContextual"/>
        </w:rPr>
        <w:t>, 97 N.C. L. Rev. 483 (2019)</w:t>
      </w:r>
      <w:r w:rsidR="0041704C" w:rsidRPr="00C43543">
        <w:rPr>
          <w:rFonts w:ascii="Adobe Garamond Pro" w:hAnsi="Adobe Garamond Pro"/>
          <w:noProof/>
          <w:szCs w:val="28"/>
          <w14:ligatures w14:val="standardContextual"/>
        </w:rPr>
        <w:tab/>
        <w:t>95</w:t>
      </w:r>
    </w:p>
    <w:p w14:paraId="52F15B73" w14:textId="1D72E9D5" w:rsidR="00475B4F" w:rsidRPr="00C43543" w:rsidRDefault="00D553D8"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Bartow J</w:t>
      </w:r>
      <w:r>
        <w:rPr>
          <w:rFonts w:ascii="Adobe Garamond Pro" w:hAnsi="Adobe Garamond Pro"/>
          <w:noProof/>
          <w:szCs w:val="28"/>
          <w14:ligatures w14:val="standardContextual"/>
        </w:rPr>
        <w:t xml:space="preserve">. </w:t>
      </w:r>
      <w:r w:rsidR="00475B4F" w:rsidRPr="00C43543">
        <w:rPr>
          <w:rFonts w:ascii="Adobe Garamond Pro" w:hAnsi="Adobe Garamond Pro"/>
          <w:noProof/>
          <w:szCs w:val="28"/>
          <w14:ligatures w14:val="standardContextual"/>
        </w:rPr>
        <w:t>Elmore</w:t>
      </w:r>
      <w:r w:rsidR="00D352D9" w:rsidRPr="00C43543">
        <w:rPr>
          <w:rFonts w:ascii="Adobe Garamond Pro" w:hAnsi="Adobe Garamond Pro"/>
          <w:noProof/>
          <w:szCs w:val="28"/>
          <w14:ligatures w14:val="standardContextual"/>
        </w:rPr>
        <w:t>,</w:t>
      </w:r>
      <w:r w:rsidR="00D352D9" w:rsidRPr="00C43543">
        <w:rPr>
          <w:rFonts w:ascii="Adobe Garamond Pro" w:hAnsi="Adobe Garamond Pro"/>
          <w:noProof/>
          <w:szCs w:val="28"/>
          <w14:ligatures w14:val="standardContextual"/>
        </w:rPr>
        <w:br/>
      </w:r>
      <w:r w:rsidR="00475B4F" w:rsidRPr="00C43543">
        <w:rPr>
          <w:rFonts w:ascii="Adobe Garamond Pro" w:hAnsi="Adobe Garamond Pro"/>
          <w:i/>
          <w:iCs/>
          <w:noProof/>
          <w:szCs w:val="28"/>
          <w14:ligatures w14:val="standardContextual"/>
        </w:rPr>
        <w:t>Seed Money</w:t>
      </w:r>
      <w:r w:rsidR="00B77C9D">
        <w:rPr>
          <w:rFonts w:ascii="Adobe Garamond Pro" w:hAnsi="Adobe Garamond Pro"/>
          <w:i/>
          <w:iCs/>
          <w:noProof/>
          <w:szCs w:val="28"/>
          <w14:ligatures w14:val="standardContextual"/>
        </w:rPr>
        <w:t>: Monsanto's Past and Our Food Future</w:t>
      </w:r>
      <w:r w:rsidR="00B77C9D">
        <w:rPr>
          <w:rFonts w:ascii="Adobe Garamond Pro" w:hAnsi="Adobe Garamond Pro"/>
          <w:noProof/>
          <w:szCs w:val="28"/>
          <w14:ligatures w14:val="standardContextual"/>
        </w:rPr>
        <w:t xml:space="preserve"> </w:t>
      </w:r>
      <w:r w:rsidR="00475B4F" w:rsidRPr="00C43543">
        <w:rPr>
          <w:rFonts w:ascii="Adobe Garamond Pro" w:hAnsi="Adobe Garamond Pro"/>
          <w:noProof/>
          <w:szCs w:val="28"/>
          <w14:ligatures w14:val="standardContextual"/>
        </w:rPr>
        <w:t>(2021)</w:t>
      </w:r>
      <w:r w:rsidR="00475B4F" w:rsidRPr="00C43543">
        <w:rPr>
          <w:rFonts w:ascii="Adobe Garamond Pro" w:hAnsi="Adobe Garamond Pro"/>
          <w:noProof/>
          <w:szCs w:val="28"/>
          <w14:ligatures w14:val="standardContextual"/>
        </w:rPr>
        <w:tab/>
        <w:t>14</w:t>
      </w:r>
    </w:p>
    <w:p w14:paraId="4D3C3DDA" w14:textId="5FB04325" w:rsidR="00FE7008"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Pr>
          <w:rFonts w:ascii="Adobe Garamond Pro" w:hAnsi="Adobe Garamond Pro"/>
          <w:noProof/>
          <w:szCs w:val="28"/>
          <w14:ligatures w14:val="standardContextual"/>
        </w:rPr>
        <w:t>Z</w:t>
      </w:r>
      <w:r w:rsidR="00765025">
        <w:rPr>
          <w:rFonts w:ascii="Adobe Garamond Pro" w:hAnsi="Adobe Garamond Pro"/>
          <w:noProof/>
          <w:szCs w:val="28"/>
          <w14:ligatures w14:val="standardContextual"/>
        </w:rPr>
        <w:t>hishi</w:t>
      </w:r>
      <w:r>
        <w:rPr>
          <w:rFonts w:ascii="Adobe Garamond Pro" w:hAnsi="Adobe Garamond Pro"/>
          <w:noProof/>
          <w:szCs w:val="28"/>
          <w14:ligatures w14:val="standardContextual"/>
        </w:rPr>
        <w:t xml:space="preserve"> </w:t>
      </w:r>
      <w:r w:rsidR="00FE7008" w:rsidRPr="00C43543">
        <w:rPr>
          <w:rFonts w:ascii="Adobe Garamond Pro" w:hAnsi="Adobe Garamond Pro"/>
          <w:noProof/>
          <w:szCs w:val="28"/>
          <w14:ligatures w14:val="standardContextual"/>
        </w:rPr>
        <w:t>Guo, et al.,</w:t>
      </w:r>
      <w:r w:rsidR="00FE7008" w:rsidRPr="00C43543">
        <w:rPr>
          <w:rFonts w:ascii="Adobe Garamond Pro" w:hAnsi="Adobe Garamond Pro"/>
          <w:noProof/>
          <w:szCs w:val="28"/>
          <w14:ligatures w14:val="standardContextual"/>
        </w:rPr>
        <w:br/>
      </w:r>
      <w:r w:rsidR="009732B9" w:rsidRPr="00C43543">
        <w:rPr>
          <w:rFonts w:ascii="Adobe Garamond Pro" w:hAnsi="Adobe Garamond Pro"/>
          <w:noProof/>
          <w:szCs w:val="28"/>
          <w14:ligatures w14:val="standardContextual"/>
        </w:rPr>
        <w:t>2012.</w:t>
      </w:r>
      <w:r w:rsidR="009732B9" w:rsidRPr="00C43543">
        <w:rPr>
          <w:rFonts w:ascii="Adobe Garamond Pro" w:hAnsi="Adobe Garamond Pro"/>
          <w:i/>
          <w:iCs/>
          <w:noProof/>
          <w:szCs w:val="28"/>
          <w14:ligatures w14:val="standardContextual"/>
        </w:rPr>
        <w:t xml:space="preserve"> </w:t>
      </w:r>
      <w:r w:rsidR="00FE7008" w:rsidRPr="00C43543">
        <w:rPr>
          <w:rFonts w:ascii="Adobe Garamond Pro" w:hAnsi="Adobe Garamond Pro"/>
          <w:i/>
          <w:iCs/>
          <w:noProof/>
          <w:szCs w:val="28"/>
          <w14:ligatures w14:val="standardContextual"/>
        </w:rPr>
        <w:t xml:space="preserve">Laboratory study of polychlorinated biphenyl </w:t>
      </w:r>
      <w:r w:rsidR="00FE7008" w:rsidRPr="00C43543">
        <w:rPr>
          <w:rFonts w:ascii="Adobe Garamond Pro" w:hAnsi="Adobe Garamond Pro"/>
          <w:i/>
          <w:iCs/>
          <w:noProof/>
          <w:szCs w:val="28"/>
          <w14:ligatures w14:val="standardContextual"/>
        </w:rPr>
        <w:lastRenderedPageBreak/>
        <w:t>(PCB) contamination and mitigation in buildings. Part 2. Transport from primary sources to building materials and settled dust.</w:t>
      </w:r>
      <w:r w:rsidR="00FE7008" w:rsidRPr="00C43543">
        <w:rPr>
          <w:rFonts w:ascii="Adobe Garamond Pro" w:hAnsi="Adobe Garamond Pro"/>
          <w:szCs w:val="28"/>
          <w14:ligatures w14:val="standardContextual"/>
        </w:rPr>
        <w:t xml:space="preserve"> </w:t>
      </w:r>
      <w:r w:rsidR="00FE7008" w:rsidRPr="00C43543">
        <w:rPr>
          <w:rFonts w:ascii="Adobe Garamond Pro" w:hAnsi="Adobe Garamond Pro"/>
          <w:noProof/>
          <w:szCs w:val="28"/>
          <w14:ligatures w14:val="standardContextual"/>
        </w:rPr>
        <w:t>Vol. 156. EPA/600/R-11</w:t>
      </w:r>
      <w:r w:rsidR="00FE7008" w:rsidRPr="00C43543">
        <w:rPr>
          <w:rFonts w:ascii="Adobe Garamond Pro" w:hAnsi="Adobe Garamond Pro"/>
          <w:noProof/>
          <w:szCs w:val="28"/>
          <w14:ligatures w14:val="standardContextual"/>
        </w:rPr>
        <w:tab/>
        <w:t>104</w:t>
      </w:r>
    </w:p>
    <w:p w14:paraId="51283617" w14:textId="6F9F39C9" w:rsidR="00FD19F3"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Michael M</w:t>
      </w:r>
      <w:r>
        <w:rPr>
          <w:rFonts w:ascii="Adobe Garamond Pro" w:hAnsi="Adobe Garamond Pro"/>
          <w:noProof/>
          <w:szCs w:val="28"/>
          <w14:ligatures w14:val="standardContextual"/>
        </w:rPr>
        <w:t xml:space="preserve">. </w:t>
      </w:r>
      <w:r w:rsidR="00FD19F3" w:rsidRPr="00C43543">
        <w:rPr>
          <w:rFonts w:ascii="Adobe Garamond Pro" w:hAnsi="Adobe Garamond Pro"/>
          <w:noProof/>
          <w:szCs w:val="28"/>
          <w14:ligatures w14:val="standardContextual"/>
        </w:rPr>
        <w:t>Martin</w:t>
      </w:r>
      <w:r>
        <w:rPr>
          <w:rFonts w:ascii="Adobe Garamond Pro" w:hAnsi="Adobe Garamond Pro"/>
          <w:noProof/>
          <w:szCs w:val="28"/>
          <w14:ligatures w14:val="standardContextual"/>
        </w:rPr>
        <w:t>,</w:t>
      </w:r>
      <w:r w:rsidR="00FD19F3" w:rsidRPr="00C43543">
        <w:rPr>
          <w:rFonts w:ascii="Adobe Garamond Pro" w:hAnsi="Adobe Garamond Pro"/>
          <w:noProof/>
          <w:szCs w:val="28"/>
          <w14:ligatures w14:val="standardContextual"/>
        </w:rPr>
        <w:br/>
      </w:r>
      <w:r w:rsidR="00FD19F3" w:rsidRPr="00C43543">
        <w:rPr>
          <w:rFonts w:ascii="Adobe Garamond Pro" w:hAnsi="Adobe Garamond Pro"/>
          <w:i/>
          <w:iCs/>
          <w:noProof/>
          <w:szCs w:val="28"/>
          <w14:ligatures w14:val="standardContextual"/>
        </w:rPr>
        <w:t>A Statute of Repose for Product Liability Claims</w:t>
      </w:r>
      <w:r w:rsidR="00FD19F3" w:rsidRPr="00C43543">
        <w:rPr>
          <w:rFonts w:ascii="Adobe Garamond Pro" w:hAnsi="Adobe Garamond Pro"/>
          <w:noProof/>
          <w:szCs w:val="28"/>
          <w14:ligatures w14:val="standardContextual"/>
        </w:rPr>
        <w:t>, 50 Fordham. L. Rev. 745 (1982)</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48</w:t>
      </w:r>
    </w:p>
    <w:p w14:paraId="0EAFFDAE" w14:textId="4F89046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991327">
        <w:rPr>
          <w:rFonts w:ascii="Adobe Garamond Pro" w:hAnsi="Adobe Garamond Pro"/>
          <w:noProof/>
          <w:szCs w:val="28"/>
          <w14:ligatures w14:val="standardContextual"/>
        </w:rPr>
        <w:t>McCormick on Evidenc</w:t>
      </w:r>
      <w:r w:rsidRPr="00991327">
        <w:rPr>
          <w:rFonts w:ascii="Adobe Garamond Pro" w:hAnsi="Adobe Garamond Pro"/>
          <w:i/>
          <w:iCs/>
          <w:noProof/>
          <w:szCs w:val="28"/>
          <w14:ligatures w14:val="standardContextual"/>
        </w:rPr>
        <w:t>e</w:t>
      </w:r>
      <w:r w:rsidRPr="00C43543">
        <w:rPr>
          <w:rFonts w:ascii="Adobe Garamond Pro" w:hAnsi="Adobe Garamond Pro"/>
          <w:noProof/>
          <w:szCs w:val="28"/>
          <w14:ligatures w14:val="standardContextual"/>
        </w:rPr>
        <w:t xml:space="preserve"> (8th Ed. 2020)</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136, 137</w:t>
      </w:r>
    </w:p>
    <w:p w14:paraId="10A3B037" w14:textId="4A78CA7B" w:rsidR="00FD19F3"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Caleb</w:t>
      </w:r>
      <w:r>
        <w:rPr>
          <w:rFonts w:ascii="Adobe Garamond Pro" w:hAnsi="Adobe Garamond Pro"/>
          <w:noProof/>
          <w:szCs w:val="28"/>
          <w14:ligatures w14:val="standardContextual"/>
        </w:rPr>
        <w:t xml:space="preserve"> </w:t>
      </w:r>
      <w:r w:rsidR="00FD19F3" w:rsidRPr="00C43543">
        <w:rPr>
          <w:rFonts w:ascii="Adobe Garamond Pro" w:hAnsi="Adobe Garamond Pro"/>
          <w:noProof/>
          <w:szCs w:val="28"/>
          <w14:ligatures w14:val="standardContextual"/>
        </w:rPr>
        <w:t xml:space="preserve">Nelson, </w:t>
      </w:r>
      <w:r w:rsidR="0036320F" w:rsidRPr="00C43543">
        <w:rPr>
          <w:rFonts w:ascii="Adobe Garamond Pro" w:hAnsi="Adobe Garamond Pro"/>
          <w:noProof/>
          <w:szCs w:val="28"/>
          <w14:ligatures w14:val="standardContextual"/>
        </w:rPr>
        <w:br/>
      </w:r>
      <w:r w:rsidR="00FD19F3" w:rsidRPr="00C43543">
        <w:rPr>
          <w:rFonts w:ascii="Adobe Garamond Pro" w:hAnsi="Adobe Garamond Pro"/>
          <w:i/>
          <w:iCs/>
          <w:noProof/>
          <w:szCs w:val="28"/>
          <w14:ligatures w14:val="standardContextual"/>
        </w:rPr>
        <w:t>State and Federal Models of the Interaction Between Statutes and Unwritten Law</w:t>
      </w:r>
      <w:r w:rsidR="00FD19F3" w:rsidRPr="00C43543">
        <w:rPr>
          <w:rFonts w:ascii="Adobe Garamond Pro" w:hAnsi="Adobe Garamond Pro"/>
          <w:noProof/>
          <w:szCs w:val="28"/>
          <w14:ligatures w14:val="standardContextual"/>
        </w:rPr>
        <w:t>, 80 U. Chi. L. Rev. 657 (2013)</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57</w:t>
      </w:r>
      <w:r w:rsidR="005430B2" w:rsidRPr="00C43543">
        <w:rPr>
          <w:rFonts w:ascii="Adobe Garamond Pro" w:hAnsi="Adobe Garamond Pro"/>
          <w:noProof/>
          <w:szCs w:val="28"/>
          <w14:ligatures w14:val="standardContextual"/>
        </w:rPr>
        <w:t>, 58, 60, 61</w:t>
      </w:r>
    </w:p>
    <w:p w14:paraId="474B534C" w14:textId="6C0ED163" w:rsidR="00FD19F3" w:rsidRPr="00C43543" w:rsidRDefault="00FD19F3" w:rsidP="008C0692">
      <w:pPr>
        <w:pStyle w:val="TableofAuthorities"/>
        <w:tabs>
          <w:tab w:val="right" w:leader="dot" w:pos="7190"/>
        </w:tabs>
        <w:spacing w:after="160"/>
        <w:ind w:right="117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Preserving the Inviolability of Rules of Conflict of Laws by Statutory Construction</w:t>
      </w:r>
      <w:r w:rsidRPr="00C43543">
        <w:rPr>
          <w:rFonts w:ascii="Adobe Garamond Pro" w:hAnsi="Adobe Garamond Pro"/>
          <w:noProof/>
          <w:szCs w:val="28"/>
          <w14:ligatures w14:val="standardContextual"/>
        </w:rPr>
        <w:t>, 49 Harv. L. Rev. 319 (1935)</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57</w:t>
      </w:r>
    </w:p>
    <w:p w14:paraId="0E56AF4A"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(Second) of Conflict of Laws § 145</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2E8F7184" w14:textId="5C72B2E8"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(Second) of Conflict of Laws § 161</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53</w:t>
      </w:r>
    </w:p>
    <w:p w14:paraId="5002A14E" w14:textId="77166E85"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(Second) of Conflict of Laws § 171</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65, 66</w:t>
      </w:r>
    </w:p>
    <w:p w14:paraId="0FF30AB3" w14:textId="7777777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(Second) of Conflict of Laws § 6</w:t>
      </w:r>
      <w:r w:rsidRPr="00C43543">
        <w:rPr>
          <w:rFonts w:ascii="Adobe Garamond Pro" w:hAnsi="Adobe Garamond Pro"/>
          <w:noProof/>
          <w:szCs w:val="28"/>
          <w14:ligatures w14:val="standardContextual"/>
        </w:rPr>
        <w:tab/>
      </w:r>
      <w:r w:rsidRPr="00C43543">
        <w:rPr>
          <w:rFonts w:ascii="Adobe Garamond Pro" w:hAnsi="Adobe Garamond Pro"/>
          <w:i/>
          <w:iCs/>
          <w:noProof/>
          <w:szCs w:val="28"/>
          <w14:ligatures w14:val="standardContextual"/>
        </w:rPr>
        <w:t>passim</w:t>
      </w:r>
    </w:p>
    <w:p w14:paraId="79EE34F0" w14:textId="09F9B4D9"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(Second) of Torts § 388</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87, 89, 91</w:t>
      </w:r>
    </w:p>
    <w:p w14:paraId="4271D911" w14:textId="4607AAA7"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(Third) of Torts: Product Liability § 2</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89</w:t>
      </w:r>
    </w:p>
    <w:p w14:paraId="18FC6460" w14:textId="4A9B3F7B" w:rsidR="00FE7008" w:rsidRPr="00C43543" w:rsidRDefault="00FE7008"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Restatement (Third) of Torts: Product Liability § 10</w:t>
      </w:r>
      <w:r w:rsidRPr="00C43543">
        <w:rPr>
          <w:rFonts w:ascii="Adobe Garamond Pro" w:hAnsi="Adobe Garamond Pro"/>
          <w:noProof/>
          <w:szCs w:val="28"/>
          <w14:ligatures w14:val="standardContextual"/>
        </w:rPr>
        <w:tab/>
        <w:t>75</w:t>
      </w:r>
    </w:p>
    <w:p w14:paraId="24A14103" w14:textId="2D083D81" w:rsidR="00FD19F3"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lang w:bidi="en-US"/>
          <w14:ligatures w14:val="standardContextual"/>
        </w:rPr>
        <w:t>Marie-Monique</w:t>
      </w:r>
      <w:r>
        <w:rPr>
          <w:rFonts w:ascii="Adobe Garamond Pro" w:hAnsi="Adobe Garamond Pro"/>
          <w:noProof/>
          <w:szCs w:val="28"/>
          <w:lang w:bidi="en-US"/>
          <w14:ligatures w14:val="standardContextual"/>
        </w:rPr>
        <w:t xml:space="preserve"> </w:t>
      </w:r>
      <w:r w:rsidR="00FD19F3" w:rsidRPr="00C43543">
        <w:rPr>
          <w:rFonts w:ascii="Adobe Garamond Pro" w:hAnsi="Adobe Garamond Pro"/>
          <w:noProof/>
          <w:szCs w:val="28"/>
          <w:lang w:bidi="en-US"/>
          <w14:ligatures w14:val="standardContextual"/>
        </w:rPr>
        <w:t>Robin,</w:t>
      </w:r>
      <w:r w:rsidR="00D352D9" w:rsidRPr="00C43543">
        <w:rPr>
          <w:rFonts w:ascii="Adobe Garamond Pro" w:hAnsi="Adobe Garamond Pro"/>
          <w:noProof/>
          <w:szCs w:val="28"/>
          <w:lang w:bidi="en-US"/>
          <w14:ligatures w14:val="standardContextual"/>
        </w:rPr>
        <w:t xml:space="preserve"> </w:t>
      </w:r>
      <w:r w:rsidR="00D352D9" w:rsidRPr="00C43543">
        <w:rPr>
          <w:rFonts w:ascii="Adobe Garamond Pro" w:hAnsi="Adobe Garamond Pro"/>
          <w:noProof/>
          <w:szCs w:val="28"/>
          <w:lang w:bidi="en-US"/>
          <w14:ligatures w14:val="standardContextual"/>
        </w:rPr>
        <w:br/>
      </w:r>
      <w:r w:rsidR="00FD19F3" w:rsidRPr="00C43543">
        <w:rPr>
          <w:rFonts w:ascii="Adobe Garamond Pro" w:hAnsi="Adobe Garamond Pro"/>
          <w:i/>
          <w:iCs/>
          <w:noProof/>
          <w:szCs w:val="28"/>
          <w:lang w:bidi="en-US"/>
          <w14:ligatures w14:val="standardContextual"/>
        </w:rPr>
        <w:t>The World According to Monsanto</w:t>
      </w:r>
      <w:r w:rsidR="00991327">
        <w:rPr>
          <w:rFonts w:ascii="Adobe Garamond Pro" w:hAnsi="Adobe Garamond Pro"/>
          <w:i/>
          <w:iCs/>
          <w:noProof/>
          <w:szCs w:val="28"/>
          <w:lang w:bidi="en-US"/>
          <w14:ligatures w14:val="standardContextual"/>
        </w:rPr>
        <w:t>: Pollution, Corruption, and Control of the World's Food Supply</w:t>
      </w:r>
      <w:r w:rsidR="00FD19F3" w:rsidRPr="00C43543">
        <w:rPr>
          <w:rFonts w:ascii="Adobe Garamond Pro" w:hAnsi="Adobe Garamond Pro"/>
          <w:noProof/>
          <w:szCs w:val="28"/>
          <w:lang w:bidi="en-US"/>
          <w14:ligatures w14:val="standardContextual"/>
        </w:rPr>
        <w:t xml:space="preserve"> (2008)</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13</w:t>
      </w:r>
    </w:p>
    <w:p w14:paraId="612DD6D7" w14:textId="77295CB6" w:rsidR="0041704C" w:rsidRPr="00C43543" w:rsidRDefault="00EA3274" w:rsidP="0041704C">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Stephen A.</w:t>
      </w:r>
      <w:r>
        <w:rPr>
          <w:rFonts w:ascii="Adobe Garamond Pro" w:hAnsi="Adobe Garamond Pro"/>
          <w:noProof/>
          <w:szCs w:val="28"/>
          <w14:ligatures w14:val="standardContextual"/>
        </w:rPr>
        <w:t xml:space="preserve"> </w:t>
      </w:r>
      <w:r w:rsidR="0041704C" w:rsidRPr="00C43543">
        <w:rPr>
          <w:rFonts w:ascii="Adobe Garamond Pro" w:hAnsi="Adobe Garamond Pro"/>
          <w:noProof/>
          <w:szCs w:val="28"/>
          <w14:ligatures w14:val="standardContextual"/>
        </w:rPr>
        <w:t xml:space="preserve">Saltzburg, </w:t>
      </w:r>
      <w:r w:rsidR="0041704C" w:rsidRPr="00C43543">
        <w:rPr>
          <w:rFonts w:ascii="Adobe Garamond Pro" w:hAnsi="Adobe Garamond Pro"/>
          <w:noProof/>
          <w:szCs w:val="28"/>
          <w14:ligatures w14:val="standardContextual"/>
        </w:rPr>
        <w:br/>
      </w:r>
      <w:r w:rsidR="0041704C" w:rsidRPr="00C43543">
        <w:rPr>
          <w:rFonts w:ascii="Adobe Garamond Pro" w:hAnsi="Adobe Garamond Pro"/>
          <w:i/>
          <w:iCs/>
          <w:noProof/>
          <w:szCs w:val="28"/>
          <w14:ligatures w14:val="standardContextual"/>
        </w:rPr>
        <w:t>A Special Aspect of Relevance: Countering Negative Inferences Associated with the Absence of Evidence</w:t>
      </w:r>
      <w:r w:rsidR="0041704C" w:rsidRPr="00C43543">
        <w:rPr>
          <w:rFonts w:ascii="Adobe Garamond Pro" w:hAnsi="Adobe Garamond Pro"/>
          <w:noProof/>
          <w:szCs w:val="28"/>
          <w14:ligatures w14:val="standardContextual"/>
        </w:rPr>
        <w:t>, 66 Cal. L. Rev. 1011 (1978)</w:t>
      </w:r>
      <w:r w:rsidR="0041704C" w:rsidRPr="00C43543">
        <w:rPr>
          <w:rFonts w:ascii="Adobe Garamond Pro" w:hAnsi="Adobe Garamond Pro"/>
          <w:noProof/>
          <w:szCs w:val="28"/>
          <w14:ligatures w14:val="standardContextual"/>
        </w:rPr>
        <w:tab/>
        <w:t>137</w:t>
      </w:r>
    </w:p>
    <w:p w14:paraId="751993D5" w14:textId="2B9B728B" w:rsidR="005430B2" w:rsidRPr="00C43543" w:rsidRDefault="005430B2" w:rsidP="008C0692">
      <w:pPr>
        <w:pStyle w:val="TableofAuthorities"/>
        <w:tabs>
          <w:tab w:val="right" w:leader="dot" w:pos="7190"/>
        </w:tabs>
        <w:spacing w:after="160"/>
        <w:ind w:right="81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lastRenderedPageBreak/>
        <w:t xml:space="preserve">Antonin </w:t>
      </w:r>
      <w:r w:rsidR="00EA3274">
        <w:rPr>
          <w:rFonts w:ascii="Adobe Garamond Pro" w:hAnsi="Adobe Garamond Pro"/>
          <w:noProof/>
          <w:szCs w:val="28"/>
          <w14:ligatures w14:val="standardContextual"/>
        </w:rPr>
        <w:t xml:space="preserve">Scalia </w:t>
      </w:r>
      <w:r w:rsidRPr="00C43543">
        <w:rPr>
          <w:rFonts w:ascii="Adobe Garamond Pro" w:hAnsi="Adobe Garamond Pro"/>
          <w:noProof/>
          <w:szCs w:val="28"/>
          <w14:ligatures w14:val="standardContextual"/>
        </w:rPr>
        <w:t xml:space="preserve">&amp; </w:t>
      </w:r>
      <w:r w:rsidR="00765025">
        <w:rPr>
          <w:rFonts w:ascii="Adobe Garamond Pro" w:hAnsi="Adobe Garamond Pro"/>
          <w:noProof/>
          <w:szCs w:val="28"/>
          <w14:ligatures w14:val="standardContextual"/>
        </w:rPr>
        <w:t>Bryan</w:t>
      </w:r>
      <w:r w:rsidR="00EA3274">
        <w:rPr>
          <w:rFonts w:ascii="Adobe Garamond Pro" w:hAnsi="Adobe Garamond Pro"/>
          <w:noProof/>
          <w:szCs w:val="28"/>
          <w14:ligatures w14:val="standardContextual"/>
        </w:rPr>
        <w:t xml:space="preserve"> </w:t>
      </w:r>
      <w:r w:rsidRPr="00C43543">
        <w:rPr>
          <w:rFonts w:ascii="Adobe Garamond Pro" w:hAnsi="Adobe Garamond Pro"/>
          <w:noProof/>
          <w:szCs w:val="28"/>
          <w14:ligatures w14:val="standardContextual"/>
        </w:rPr>
        <w:t xml:space="preserve">Garner, </w:t>
      </w:r>
      <w:r w:rsidRPr="00C43543">
        <w:rPr>
          <w:rFonts w:ascii="Adobe Garamond Pro" w:hAnsi="Adobe Garamond Pro"/>
          <w:noProof/>
          <w:szCs w:val="28"/>
          <w14:ligatures w14:val="standardContextual"/>
        </w:rPr>
        <w:br/>
      </w:r>
      <w:r w:rsidRPr="00C43543">
        <w:rPr>
          <w:rFonts w:ascii="Adobe Garamond Pro" w:hAnsi="Adobe Garamond Pro"/>
          <w:i/>
          <w:iCs/>
          <w:noProof/>
          <w:szCs w:val="28"/>
          <w14:ligatures w14:val="standardContextual"/>
        </w:rPr>
        <w:t>R</w:t>
      </w:r>
      <w:r w:rsidRPr="00C43543">
        <w:rPr>
          <w:rFonts w:ascii="Adobe Garamond Pro" w:hAnsi="Adobe Garamond Pro"/>
          <w:i/>
          <w:iCs/>
          <w:szCs w:val="28"/>
          <w14:ligatures w14:val="standardContextual"/>
        </w:rPr>
        <w:t xml:space="preserve">eading Law: The Interpretation of Legal Texts </w:t>
      </w:r>
      <w:r w:rsidRPr="00C43543">
        <w:rPr>
          <w:rFonts w:ascii="Adobe Garamond Pro" w:hAnsi="Adobe Garamond Pro"/>
          <w:szCs w:val="28"/>
          <w14:ligatures w14:val="standardContextual"/>
        </w:rPr>
        <w:t>(2018)</w:t>
      </w:r>
      <w:r w:rsidRPr="00C43543">
        <w:rPr>
          <w:rFonts w:ascii="Adobe Garamond Pro" w:hAnsi="Adobe Garamond Pro"/>
          <w:noProof/>
          <w:szCs w:val="28"/>
          <w14:ligatures w14:val="standardContextual"/>
        </w:rPr>
        <w:tab/>
        <w:t>58</w:t>
      </w:r>
    </w:p>
    <w:p w14:paraId="6955C6BB" w14:textId="01CE2A89" w:rsidR="00B625F0"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Christopher R.M.</w:t>
      </w:r>
      <w:r>
        <w:rPr>
          <w:rFonts w:ascii="Adobe Garamond Pro" w:hAnsi="Adobe Garamond Pro"/>
          <w:noProof/>
          <w:szCs w:val="28"/>
          <w14:ligatures w14:val="standardContextual"/>
        </w:rPr>
        <w:t xml:space="preserve"> </w:t>
      </w:r>
      <w:r w:rsidR="00B625F0" w:rsidRPr="00C43543">
        <w:rPr>
          <w:rFonts w:ascii="Adobe Garamond Pro" w:hAnsi="Adobe Garamond Pro"/>
          <w:noProof/>
          <w:szCs w:val="28"/>
          <w14:ligatures w14:val="standardContextual"/>
        </w:rPr>
        <w:t>Stanton,</w:t>
      </w:r>
      <w:r w:rsidR="008C0692" w:rsidRPr="00C43543">
        <w:rPr>
          <w:rFonts w:ascii="Adobe Garamond Pro" w:hAnsi="Adobe Garamond Pro"/>
          <w:noProof/>
          <w:szCs w:val="28"/>
          <w14:ligatures w14:val="standardContextual"/>
        </w:rPr>
        <w:t xml:space="preserve"> </w:t>
      </w:r>
      <w:r w:rsidR="00B625F0" w:rsidRPr="00C43543">
        <w:rPr>
          <w:rFonts w:ascii="Adobe Garamond Pro" w:hAnsi="Adobe Garamond Pro"/>
          <w:noProof/>
          <w:szCs w:val="28"/>
          <w14:ligatures w14:val="standardContextual"/>
        </w:rPr>
        <w:br/>
      </w:r>
      <w:r w:rsidR="00B625F0" w:rsidRPr="00991327">
        <w:rPr>
          <w:rFonts w:ascii="Adobe Garamond Pro" w:hAnsi="Adobe Garamond Pro"/>
          <w:i/>
          <w:iCs/>
          <w:noProof/>
          <w:szCs w:val="28"/>
          <w14:ligatures w14:val="standardContextual"/>
        </w:rPr>
        <w:t>Implementing the Uniform Conflict of Laws-Limitations Act in Washington</w:t>
      </w:r>
      <w:r w:rsidR="00B625F0" w:rsidRPr="00C43543">
        <w:rPr>
          <w:rFonts w:ascii="Adobe Garamond Pro" w:hAnsi="Adobe Garamond Pro"/>
          <w:noProof/>
          <w:szCs w:val="28"/>
          <w14:ligatures w14:val="standardContextual"/>
        </w:rPr>
        <w:t xml:space="preserve">, 71 Wash. L. Rev. 871, 881 (1996) </w:t>
      </w:r>
      <w:r w:rsidR="00B625F0" w:rsidRPr="00C43543">
        <w:rPr>
          <w:rFonts w:ascii="Adobe Garamond Pro" w:hAnsi="Adobe Garamond Pro"/>
          <w:noProof/>
          <w:szCs w:val="28"/>
          <w14:ligatures w14:val="standardContextual"/>
        </w:rPr>
        <w:tab/>
      </w:r>
      <w:r w:rsidR="008C0692" w:rsidRPr="00C43543">
        <w:rPr>
          <w:rFonts w:ascii="Adobe Garamond Pro" w:hAnsi="Adobe Garamond Pro"/>
          <w:noProof/>
          <w:szCs w:val="28"/>
          <w14:ligatures w14:val="standardContextual"/>
        </w:rPr>
        <w:t>55</w:t>
      </w:r>
    </w:p>
    <w:p w14:paraId="32FAEE45" w14:textId="302C5A15" w:rsidR="00FD19F3"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Christopher G.</w:t>
      </w:r>
      <w:r>
        <w:rPr>
          <w:rFonts w:ascii="Adobe Garamond Pro" w:hAnsi="Adobe Garamond Pro"/>
          <w:noProof/>
          <w:szCs w:val="28"/>
          <w14:ligatures w14:val="standardContextual"/>
        </w:rPr>
        <w:t xml:space="preserve"> </w:t>
      </w:r>
      <w:r w:rsidR="00FD19F3" w:rsidRPr="00C43543">
        <w:rPr>
          <w:rFonts w:ascii="Adobe Garamond Pro" w:hAnsi="Adobe Garamond Pro"/>
          <w:noProof/>
          <w:szCs w:val="28"/>
          <w14:ligatures w14:val="standardContextual"/>
        </w:rPr>
        <w:t>Stevenson,</w:t>
      </w:r>
      <w:r w:rsidR="00756155" w:rsidRPr="00C43543">
        <w:rPr>
          <w:rFonts w:ascii="Adobe Garamond Pro" w:hAnsi="Adobe Garamond Pro"/>
          <w:noProof/>
          <w:szCs w:val="28"/>
          <w14:ligatures w14:val="standardContextual"/>
        </w:rPr>
        <w:t xml:space="preserve"> </w:t>
      </w:r>
      <w:r w:rsidR="00756155" w:rsidRPr="00C43543">
        <w:rPr>
          <w:rFonts w:ascii="Adobe Garamond Pro" w:hAnsi="Adobe Garamond Pro"/>
          <w:noProof/>
          <w:szCs w:val="28"/>
          <w14:ligatures w14:val="standardContextual"/>
        </w:rPr>
        <w:br/>
      </w:r>
      <w:r w:rsidR="00FD19F3" w:rsidRPr="00C43543">
        <w:rPr>
          <w:rFonts w:ascii="Adobe Garamond Pro" w:hAnsi="Adobe Garamond Pro"/>
          <w:i/>
          <w:iCs/>
          <w:noProof/>
          <w:szCs w:val="28"/>
          <w14:ligatures w14:val="standardContextual"/>
        </w:rPr>
        <w:t>Depecage: Embracing Complexity to Solve Choice-of-Law Issues</w:t>
      </w:r>
      <w:r w:rsidR="00FD19F3" w:rsidRPr="00C43543">
        <w:rPr>
          <w:rFonts w:ascii="Adobe Garamond Pro" w:hAnsi="Adobe Garamond Pro"/>
          <w:noProof/>
          <w:szCs w:val="28"/>
          <w14:ligatures w14:val="standardContextual"/>
        </w:rPr>
        <w:t>, 37 Ind. L. Rev. 303 (2003)</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64</w:t>
      </w:r>
    </w:p>
    <w:p w14:paraId="3796AAAD" w14:textId="1F9926AA" w:rsidR="008C0692"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Yana</w:t>
      </w:r>
      <w:r>
        <w:rPr>
          <w:rFonts w:ascii="Adobe Garamond Pro" w:hAnsi="Adobe Garamond Pro"/>
          <w:noProof/>
          <w:szCs w:val="28"/>
          <w14:ligatures w14:val="standardContextual"/>
        </w:rPr>
        <w:t xml:space="preserve"> </w:t>
      </w:r>
      <w:r w:rsidR="008C0692" w:rsidRPr="00C43543">
        <w:rPr>
          <w:rFonts w:ascii="Adobe Garamond Pro" w:hAnsi="Adobe Garamond Pro"/>
          <w:noProof/>
          <w:szCs w:val="28"/>
          <w14:ligatures w14:val="standardContextual"/>
        </w:rPr>
        <w:t xml:space="preserve">Suchy, </w:t>
      </w:r>
      <w:r w:rsidR="008C0692" w:rsidRPr="00C43543">
        <w:rPr>
          <w:rFonts w:ascii="Adobe Garamond Pro" w:hAnsi="Adobe Garamond Pro"/>
          <w:noProof/>
          <w:szCs w:val="28"/>
          <w14:ligatures w14:val="standardContextual"/>
        </w:rPr>
        <w:br/>
      </w:r>
      <w:r w:rsidR="008C0692" w:rsidRPr="00C43543">
        <w:rPr>
          <w:rFonts w:ascii="Adobe Garamond Pro" w:hAnsi="Adobe Garamond Pro"/>
          <w:i/>
          <w:iCs/>
          <w:noProof/>
          <w:szCs w:val="28"/>
          <w14:ligatures w14:val="standardContextual"/>
        </w:rPr>
        <w:t>Executive Functioning: A Comprehensive Guide for Clinical Practice</w:t>
      </w:r>
      <w:r w:rsidR="008C0692" w:rsidRPr="00C43543">
        <w:rPr>
          <w:rFonts w:ascii="Adobe Garamond Pro" w:hAnsi="Adobe Garamond Pro"/>
          <w:noProof/>
          <w:szCs w:val="28"/>
          <w14:ligatures w14:val="standardContextual"/>
        </w:rPr>
        <w:t xml:space="preserve"> (2016)</w:t>
      </w:r>
      <w:r w:rsidR="008C0692" w:rsidRPr="00C43543">
        <w:rPr>
          <w:rFonts w:ascii="Adobe Garamond Pro" w:hAnsi="Adobe Garamond Pro"/>
          <w:noProof/>
          <w:szCs w:val="28"/>
          <w14:ligatures w14:val="standardContextual"/>
        </w:rPr>
        <w:tab/>
        <w:t>116</w:t>
      </w:r>
    </w:p>
    <w:p w14:paraId="5F9392E6" w14:textId="14CC4359" w:rsidR="00FD19F3" w:rsidRPr="00C43543" w:rsidRDefault="00EA3274" w:rsidP="008C0692">
      <w:pPr>
        <w:pStyle w:val="TableofAuthorities"/>
        <w:tabs>
          <w:tab w:val="right" w:leader="dot" w:pos="7190"/>
        </w:tabs>
        <w:spacing w:after="160"/>
        <w:ind w:right="90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Carl B.</w:t>
      </w:r>
      <w:r>
        <w:rPr>
          <w:rFonts w:ascii="Adobe Garamond Pro" w:hAnsi="Adobe Garamond Pro"/>
          <w:noProof/>
          <w:szCs w:val="28"/>
          <w14:ligatures w14:val="standardContextual"/>
        </w:rPr>
        <w:t xml:space="preserve"> </w:t>
      </w:r>
      <w:r w:rsidR="00FD19F3" w:rsidRPr="00C43543">
        <w:rPr>
          <w:rFonts w:ascii="Adobe Garamond Pro" w:hAnsi="Adobe Garamond Pro"/>
          <w:noProof/>
          <w:szCs w:val="28"/>
          <w14:ligatures w14:val="standardContextual"/>
        </w:rPr>
        <w:t>Tegland,</w:t>
      </w:r>
      <w:r w:rsidRPr="00EA3274" w:rsidDel="00EA3274">
        <w:rPr>
          <w:rFonts w:ascii="Adobe Garamond Pro" w:hAnsi="Adobe Garamond Pro"/>
          <w:noProof/>
          <w:szCs w:val="28"/>
          <w14:ligatures w14:val="standardContextual"/>
        </w:rPr>
        <w:t xml:space="preserve"> </w:t>
      </w:r>
      <w:r w:rsidR="008C0692" w:rsidRPr="00C43543">
        <w:rPr>
          <w:rFonts w:ascii="Adobe Garamond Pro" w:hAnsi="Adobe Garamond Pro"/>
          <w:noProof/>
          <w:szCs w:val="28"/>
          <w14:ligatures w14:val="standardContextual"/>
        </w:rPr>
        <w:br/>
      </w:r>
      <w:r w:rsidR="00FD19F3" w:rsidRPr="00991327">
        <w:rPr>
          <w:rFonts w:ascii="Adobe Garamond Pro" w:hAnsi="Adobe Garamond Pro"/>
          <w:noProof/>
          <w:szCs w:val="28"/>
          <w14:ligatures w14:val="standardContextual"/>
        </w:rPr>
        <w:t>Wash</w:t>
      </w:r>
      <w:r w:rsidR="008C0692" w:rsidRPr="00991327">
        <w:rPr>
          <w:rFonts w:ascii="Adobe Garamond Pro" w:hAnsi="Adobe Garamond Pro"/>
          <w:noProof/>
          <w:szCs w:val="28"/>
          <w14:ligatures w14:val="standardContextual"/>
        </w:rPr>
        <w:t>ington</w:t>
      </w:r>
      <w:r w:rsidR="00FD19F3" w:rsidRPr="00991327">
        <w:rPr>
          <w:rFonts w:ascii="Adobe Garamond Pro" w:hAnsi="Adobe Garamond Pro"/>
          <w:noProof/>
          <w:szCs w:val="28"/>
          <w14:ligatures w14:val="standardContextual"/>
        </w:rPr>
        <w:t xml:space="preserve"> Evidence Law and Practice </w:t>
      </w:r>
      <w:r w:rsidR="00FD19F3" w:rsidRPr="00C43543">
        <w:rPr>
          <w:rFonts w:ascii="Adobe Garamond Pro" w:hAnsi="Adobe Garamond Pro"/>
          <w:noProof/>
          <w:szCs w:val="28"/>
          <w14:ligatures w14:val="standardContextual"/>
        </w:rPr>
        <w:t>(6th ed. 2020)</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106</w:t>
      </w:r>
    </w:p>
    <w:p w14:paraId="3B77667C" w14:textId="1E6F3EBE" w:rsidR="00FD19F3" w:rsidRPr="00C43543" w:rsidRDefault="00FD19F3" w:rsidP="008C0692">
      <w:pPr>
        <w:pStyle w:val="TableofAuthorities"/>
        <w:tabs>
          <w:tab w:val="right" w:leader="dot" w:pos="7190"/>
        </w:tabs>
        <w:spacing w:after="160"/>
        <w:rPr>
          <w:rFonts w:ascii="Adobe Garamond Pro" w:hAnsi="Adobe Garamond Pro"/>
          <w:noProof/>
          <w:szCs w:val="28"/>
          <w14:ligatures w14:val="standardContextual"/>
        </w:rPr>
      </w:pPr>
      <w:r w:rsidRPr="00C43543">
        <w:rPr>
          <w:rFonts w:ascii="Adobe Garamond Pro" w:hAnsi="Adobe Garamond Pro"/>
          <w:i/>
          <w:iCs/>
          <w:noProof/>
          <w:szCs w:val="28"/>
          <w14:ligatures w14:val="standardContextual"/>
        </w:rPr>
        <w:t>Tighter Controls on Toxics Testing</w:t>
      </w:r>
      <w:r w:rsidRPr="00C43543">
        <w:rPr>
          <w:rFonts w:ascii="Adobe Garamond Pro" w:hAnsi="Adobe Garamond Pro"/>
          <w:noProof/>
          <w:szCs w:val="28"/>
          <w14:ligatures w14:val="standardContextual"/>
        </w:rPr>
        <w:t>, Chemical Week, Vol. 145 (Aug 24, 1983)</w:t>
      </w:r>
      <w:r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17</w:t>
      </w:r>
    </w:p>
    <w:p w14:paraId="312DC149" w14:textId="454258DC" w:rsidR="009732B9"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Pr>
          <w:rFonts w:ascii="Adobe Garamond Pro" w:hAnsi="Adobe Garamond Pro"/>
          <w:noProof/>
          <w:szCs w:val="28"/>
          <w14:ligatures w14:val="standardContextual"/>
        </w:rPr>
        <w:t>K</w:t>
      </w:r>
      <w:r w:rsidR="00765025">
        <w:rPr>
          <w:rFonts w:ascii="Adobe Garamond Pro" w:hAnsi="Adobe Garamond Pro"/>
          <w:noProof/>
          <w:szCs w:val="28"/>
          <w14:ligatures w14:val="standardContextual"/>
        </w:rPr>
        <w:t>ent</w:t>
      </w:r>
      <w:r>
        <w:rPr>
          <w:rFonts w:ascii="Adobe Garamond Pro" w:hAnsi="Adobe Garamond Pro"/>
          <w:noProof/>
          <w:szCs w:val="28"/>
          <w14:ligatures w14:val="standardContextual"/>
        </w:rPr>
        <w:t xml:space="preserve"> </w:t>
      </w:r>
      <w:r w:rsidR="009732B9" w:rsidRPr="00C43543">
        <w:rPr>
          <w:rFonts w:ascii="Adobe Garamond Pro" w:hAnsi="Adobe Garamond Pro"/>
          <w:noProof/>
          <w:szCs w:val="28"/>
          <w14:ligatures w14:val="standardContextual"/>
        </w:rPr>
        <w:t>Thomas, et al.,</w:t>
      </w:r>
      <w:r w:rsidR="009732B9" w:rsidRPr="00C43543">
        <w:rPr>
          <w:rFonts w:ascii="Adobe Garamond Pro" w:hAnsi="Adobe Garamond Pro"/>
          <w:noProof/>
          <w:szCs w:val="28"/>
          <w14:ligatures w14:val="standardContextual"/>
        </w:rPr>
        <w:br/>
      </w:r>
      <w:r w:rsidR="009732B9" w:rsidRPr="00C43543">
        <w:rPr>
          <w:rFonts w:ascii="Adobe Garamond Pro" w:hAnsi="Adobe Garamond Pro"/>
          <w:i/>
          <w:iCs/>
          <w:noProof/>
          <w:szCs w:val="28"/>
          <w14:ligatures w14:val="standardContextual"/>
        </w:rPr>
        <w:t>Polychlorinated Biphenyls (PCBs) in School Buildings: Sources, Environmental Levels, and Exposures. US Environmental Protection Agency, National Exposure Research Laboratory, Office of Research and Development</w:t>
      </w:r>
      <w:r w:rsidR="00991327">
        <w:rPr>
          <w:rFonts w:ascii="Adobe Garamond Pro" w:hAnsi="Adobe Garamond Pro"/>
          <w:i/>
          <w:iCs/>
          <w:noProof/>
          <w:szCs w:val="28"/>
          <w14:ligatures w14:val="standardContextual"/>
        </w:rPr>
        <w:t xml:space="preserve">, </w:t>
      </w:r>
      <w:r w:rsidR="00991327" w:rsidRPr="00C43543">
        <w:rPr>
          <w:rFonts w:ascii="Adobe Garamond Pro" w:hAnsi="Adobe Garamond Pro"/>
          <w:noProof/>
          <w:szCs w:val="28"/>
          <w14:ligatures w14:val="standardContextual"/>
        </w:rPr>
        <w:t>2012</w:t>
      </w:r>
      <w:r w:rsidR="009732B9" w:rsidRPr="00C43543">
        <w:rPr>
          <w:rFonts w:ascii="Adobe Garamond Pro" w:hAnsi="Adobe Garamond Pro"/>
          <w:noProof/>
          <w:szCs w:val="28"/>
          <w14:ligatures w14:val="standardContextual"/>
        </w:rPr>
        <w:tab/>
        <w:t>64</w:t>
      </w:r>
      <w:r w:rsidR="008C0692" w:rsidRPr="00C43543">
        <w:rPr>
          <w:rFonts w:ascii="Adobe Garamond Pro" w:hAnsi="Adobe Garamond Pro"/>
          <w:noProof/>
          <w:szCs w:val="28"/>
          <w14:ligatures w14:val="standardContextual"/>
        </w:rPr>
        <w:t>, 107</w:t>
      </w:r>
    </w:p>
    <w:p w14:paraId="32F98EB9" w14:textId="33508F73" w:rsidR="000601DC" w:rsidRPr="00C43543" w:rsidRDefault="000601DC" w:rsidP="008C0692">
      <w:pPr>
        <w:pStyle w:val="TableofAuthorities"/>
        <w:tabs>
          <w:tab w:val="right" w:leader="dot" w:pos="7190"/>
        </w:tabs>
        <w:spacing w:after="160"/>
        <w:ind w:right="900"/>
        <w:rPr>
          <w:rFonts w:ascii="Adobe Garamond Pro" w:hAnsi="Adobe Garamond Pro"/>
          <w:noProof/>
          <w:szCs w:val="28"/>
          <w14:ligatures w14:val="standardContextual"/>
        </w:rPr>
      </w:pPr>
      <w:r w:rsidRPr="00C43543">
        <w:rPr>
          <w:rFonts w:ascii="Adobe Garamond Pro" w:hAnsi="Adobe Garamond Pro"/>
          <w:noProof/>
          <w:szCs w:val="28"/>
          <w14:ligatures w14:val="standardContextual"/>
        </w:rPr>
        <w:t>Washington Evidence Law and Practice (6th ed. 2021)</w:t>
      </w:r>
      <w:r w:rsidRPr="00C43543">
        <w:rPr>
          <w:rFonts w:ascii="Adobe Garamond Pro" w:hAnsi="Adobe Garamond Pro"/>
          <w:noProof/>
          <w:szCs w:val="28"/>
          <w14:ligatures w14:val="standardContextual"/>
        </w:rPr>
        <w:tab/>
        <w:t>140</w:t>
      </w:r>
    </w:p>
    <w:p w14:paraId="0F1517FF" w14:textId="304759E5" w:rsidR="00FD19F3" w:rsidRPr="00C43543" w:rsidRDefault="00EA3274" w:rsidP="008C0692">
      <w:pPr>
        <w:pStyle w:val="TableofAuthorities"/>
        <w:tabs>
          <w:tab w:val="right" w:leader="dot" w:pos="7190"/>
        </w:tabs>
        <w:spacing w:after="160"/>
        <w:rPr>
          <w:rFonts w:ascii="Adobe Garamond Pro" w:hAnsi="Adobe Garamond Pro"/>
          <w:noProof/>
          <w:szCs w:val="28"/>
          <w14:ligatures w14:val="standardContextual"/>
        </w:rPr>
      </w:pPr>
      <w:r w:rsidRPr="00A859B7">
        <w:rPr>
          <w:rFonts w:ascii="Adobe Garamond Pro" w:hAnsi="Adobe Garamond Pro"/>
          <w:noProof/>
          <w:szCs w:val="28"/>
          <w14:ligatures w14:val="standardContextual"/>
        </w:rPr>
        <w:t>Reese L. M.</w:t>
      </w:r>
      <w:r>
        <w:rPr>
          <w:rFonts w:ascii="Adobe Garamond Pro" w:hAnsi="Adobe Garamond Pro"/>
          <w:noProof/>
          <w:szCs w:val="28"/>
          <w14:ligatures w14:val="standardContextual"/>
        </w:rPr>
        <w:t xml:space="preserve"> </w:t>
      </w:r>
      <w:r w:rsidR="00FD19F3" w:rsidRPr="00C43543">
        <w:rPr>
          <w:rFonts w:ascii="Adobe Garamond Pro" w:hAnsi="Adobe Garamond Pro"/>
          <w:noProof/>
          <w:szCs w:val="28"/>
          <w14:ligatures w14:val="standardContextual"/>
        </w:rPr>
        <w:t>Willis</w:t>
      </w:r>
      <w:r w:rsidR="00D352D9" w:rsidRPr="00C43543">
        <w:rPr>
          <w:rFonts w:ascii="Adobe Garamond Pro" w:hAnsi="Adobe Garamond Pro"/>
          <w:noProof/>
          <w:szCs w:val="28"/>
          <w14:ligatures w14:val="standardContextual"/>
        </w:rPr>
        <w:t>,</w:t>
      </w:r>
      <w:r w:rsidR="00FD19F3" w:rsidRPr="00C43543">
        <w:rPr>
          <w:rFonts w:ascii="Adobe Garamond Pro" w:hAnsi="Adobe Garamond Pro"/>
          <w:noProof/>
          <w:szCs w:val="28"/>
          <w14:ligatures w14:val="standardContextual"/>
        </w:rPr>
        <w:t xml:space="preserve"> </w:t>
      </w:r>
      <w:r w:rsidR="00D352D9" w:rsidRPr="00C43543">
        <w:rPr>
          <w:rFonts w:ascii="Adobe Garamond Pro" w:hAnsi="Adobe Garamond Pro"/>
          <w:noProof/>
          <w:szCs w:val="28"/>
          <w14:ligatures w14:val="standardContextual"/>
        </w:rPr>
        <w:br/>
      </w:r>
      <w:r w:rsidR="00FD19F3" w:rsidRPr="00C43543">
        <w:rPr>
          <w:rFonts w:ascii="Adobe Garamond Pro" w:hAnsi="Adobe Garamond Pro"/>
          <w:i/>
          <w:iCs/>
          <w:noProof/>
          <w:szCs w:val="28"/>
          <w14:ligatures w14:val="standardContextual"/>
        </w:rPr>
        <w:t>Depecage: A Common Phenomenon in Choice of Law</w:t>
      </w:r>
      <w:r w:rsidR="00FD19F3" w:rsidRPr="00C43543">
        <w:rPr>
          <w:rFonts w:ascii="Adobe Garamond Pro" w:hAnsi="Adobe Garamond Pro"/>
          <w:noProof/>
          <w:szCs w:val="28"/>
          <w14:ligatures w14:val="standardContextual"/>
        </w:rPr>
        <w:t>, 73 Colum. L. Rev. 58 (1973)</w:t>
      </w:r>
      <w:r w:rsidR="00FD19F3" w:rsidRPr="00C43543">
        <w:rPr>
          <w:rFonts w:ascii="Adobe Garamond Pro" w:hAnsi="Adobe Garamond Pro"/>
          <w:noProof/>
          <w:szCs w:val="28"/>
          <w14:ligatures w14:val="standardContextual"/>
        </w:rPr>
        <w:tab/>
      </w:r>
      <w:r w:rsidR="008B14A7" w:rsidRPr="00C43543">
        <w:rPr>
          <w:rFonts w:ascii="Adobe Garamond Pro" w:hAnsi="Adobe Garamond Pro"/>
          <w:noProof/>
          <w:szCs w:val="28"/>
          <w14:ligatures w14:val="standardContextual"/>
        </w:rPr>
        <w:t>42</w:t>
      </w:r>
      <w:r w:rsidR="00D352D9" w:rsidRPr="00C43543">
        <w:rPr>
          <w:rFonts w:ascii="Adobe Garamond Pro" w:hAnsi="Adobe Garamond Pro"/>
          <w:noProof/>
          <w:szCs w:val="28"/>
          <w14:ligatures w14:val="standardContextual"/>
        </w:rPr>
        <w:t>, 77</w:t>
      </w:r>
    </w:p>
    <w:p w14:paraId="2E85B209" w14:textId="0923B563" w:rsidR="00AC0746" w:rsidRPr="00E405C4" w:rsidRDefault="00FD19F3" w:rsidP="008C0692">
      <w:pPr>
        <w:pStyle w:val="TOAHeading"/>
        <w:tabs>
          <w:tab w:val="right" w:leader="dot" w:pos="7190"/>
        </w:tabs>
        <w:spacing w:before="0" w:after="160"/>
        <w:rPr>
          <w:rFonts w:ascii="Adobe Garamond Pro" w:hAnsi="Adobe Garamond Pro"/>
          <w:b w:val="0"/>
          <w:bCs w:val="0"/>
          <w:szCs w:val="28"/>
          <w14:ligatures w14:val="standardContextual"/>
        </w:rPr>
      </w:pPr>
      <w:r w:rsidRPr="00E405C4">
        <w:rPr>
          <w:rFonts w:ascii="Adobe Garamond Pro" w:hAnsi="Adobe Garamond Pro"/>
          <w:b w:val="0"/>
          <w:bCs w:val="0"/>
          <w:szCs w:val="28"/>
          <w14:ligatures w14:val="standardContextual"/>
        </w:rPr>
        <w:fldChar w:fldCharType="end"/>
      </w:r>
      <w:r w:rsidR="00AC0746" w:rsidRPr="00E405C4">
        <w:rPr>
          <w:rFonts w:ascii="Adobe Garamond Pro" w:hAnsi="Adobe Garamond Pro"/>
          <w:b w:val="0"/>
          <w:bCs w:val="0"/>
          <w:szCs w:val="28"/>
          <w14:ligatures w14:val="standardContextual"/>
        </w:rPr>
        <w:t xml:space="preserve"> </w:t>
      </w:r>
    </w:p>
    <w:p w14:paraId="60E69B62" w14:textId="79760A4C" w:rsidR="008576A7" w:rsidRPr="00E405C4" w:rsidRDefault="008576A7" w:rsidP="00EA1A7E">
      <w:pPr>
        <w:pStyle w:val="TOAHeading"/>
        <w:tabs>
          <w:tab w:val="right" w:leader="dot" w:pos="9350"/>
        </w:tabs>
        <w:spacing w:before="0" w:after="160"/>
        <w:rPr>
          <w:rFonts w:ascii="Adobe Garamond Pro" w:hAnsi="Adobe Garamond Pro"/>
          <w:b w:val="0"/>
          <w:bCs w:val="0"/>
          <w:szCs w:val="28"/>
          <w14:ligatures w14:val="standardContextual"/>
        </w:rPr>
      </w:pPr>
    </w:p>
    <w:p w14:paraId="09E3FAFC" w14:textId="77777777" w:rsidR="008576A7" w:rsidRPr="00E405C4" w:rsidRDefault="008576A7" w:rsidP="00B77C9D">
      <w:pPr>
        <w:spacing w:line="560" w:lineRule="exact"/>
        <w:rPr>
          <w:rFonts w:cs="Baskerville"/>
          <w:b/>
          <w:szCs w:val="28"/>
          <w14:ligatures w14:val="standardContextual"/>
        </w:rPr>
        <w:sectPr w:rsidR="008576A7" w:rsidRPr="00E405C4" w:rsidSect="003C61FC">
          <w:footerReference w:type="default" r:id="rId10"/>
          <w:pgSz w:w="12240" w:h="15840" w:code="1"/>
          <w:pgMar w:top="2160" w:right="2160" w:bottom="2160" w:left="2880" w:header="720" w:footer="720" w:gutter="0"/>
          <w:pgNumType w:fmt="lowerRoman" w:start="1"/>
          <w:cols w:space="720"/>
          <w:docGrid w:linePitch="360"/>
        </w:sectPr>
      </w:pPr>
    </w:p>
    <w:p w14:paraId="12AEE6AC" w14:textId="3F01A233" w:rsidR="007C151D" w:rsidRPr="00C43543" w:rsidRDefault="00887786" w:rsidP="00D05CD1">
      <w:pPr>
        <w:pStyle w:val="Heading1"/>
        <w:rPr>
          <w:rFonts w:ascii="Adobe Garamond Pro" w:hAnsi="Adobe Garamond Pro"/>
          <w14:ligatures w14:val="standardContextual"/>
        </w:rPr>
      </w:pPr>
      <w:bookmarkStart w:id="17" w:name="_Toc105595232"/>
      <w:bookmarkStart w:id="18" w:name="_Toc109728315"/>
      <w:bookmarkEnd w:id="2"/>
      <w:r w:rsidRPr="00C43543">
        <w:rPr>
          <w:rFonts w:ascii="Adobe Garamond Pro" w:hAnsi="Adobe Garamond Pro"/>
          <w14:ligatures w14:val="standardContextual"/>
        </w:rPr>
        <w:lastRenderedPageBreak/>
        <w:t>INTRODUCTION</w:t>
      </w:r>
      <w:bookmarkEnd w:id="17"/>
      <w:r w:rsidR="00941977" w:rsidRPr="00C43543">
        <w:rPr>
          <w:rFonts w:ascii="Adobe Garamond Pro" w:hAnsi="Adobe Garamond Pro"/>
          <w14:ligatures w14:val="standardContextual"/>
        </w:rPr>
        <w:t xml:space="preserve"> AND SUMMARY</w:t>
      </w:r>
      <w:bookmarkEnd w:id="18"/>
    </w:p>
    <w:p w14:paraId="40945ED1" w14:textId="292BE8A5" w:rsidR="00AF3839" w:rsidRPr="00C43543" w:rsidRDefault="00AF3839" w:rsidP="00742279">
      <w:pPr>
        <w:pStyle w:val="BodyText"/>
        <w:rPr>
          <w:szCs w:val="28"/>
          <w14:ligatures w14:val="standardContextual"/>
        </w:rPr>
      </w:pPr>
      <w:r w:rsidRPr="00C43543">
        <w:rPr>
          <w:szCs w:val="28"/>
          <w14:ligatures w14:val="standardContextual"/>
        </w:rPr>
        <w:t>For four decades—until they were banned by every country in the world—Monsanto made and sold PCBs, a</w:t>
      </w:r>
      <w:r w:rsidR="0095088A" w:rsidRPr="00C43543">
        <w:rPr>
          <w:szCs w:val="28"/>
          <w14:ligatures w14:val="standardContextual"/>
        </w:rPr>
        <w:t xml:space="preserve"> type of odorless, long-lasting </w:t>
      </w:r>
      <w:r w:rsidR="00256B0B" w:rsidRPr="00C43543">
        <w:rPr>
          <w:szCs w:val="28"/>
          <w14:ligatures w14:val="standardContextual"/>
        </w:rPr>
        <w:t xml:space="preserve">chemical </w:t>
      </w:r>
      <w:r w:rsidR="0095088A" w:rsidRPr="00C43543">
        <w:rPr>
          <w:szCs w:val="28"/>
          <w14:ligatures w14:val="standardContextual"/>
        </w:rPr>
        <w:t>compound</w:t>
      </w:r>
      <w:r w:rsidRPr="00C43543">
        <w:rPr>
          <w:szCs w:val="28"/>
          <w14:ligatures w14:val="standardContextual"/>
        </w:rPr>
        <w:t>. PCBs were highly profitable</w:t>
      </w:r>
      <w:r w:rsidR="009E7167" w:rsidRPr="00C43543">
        <w:rPr>
          <w:szCs w:val="28"/>
          <w14:ligatures w14:val="standardContextual"/>
        </w:rPr>
        <w:t>,</w:t>
      </w:r>
      <w:r w:rsidR="0095088A" w:rsidRPr="00C43543">
        <w:rPr>
          <w:szCs w:val="28"/>
          <w14:ligatures w14:val="standardContextual"/>
        </w:rPr>
        <w:t xml:space="preserve"> </w:t>
      </w:r>
      <w:r w:rsidR="009E7167" w:rsidRPr="00C43543">
        <w:rPr>
          <w:szCs w:val="28"/>
          <w14:ligatures w14:val="standardContextual"/>
        </w:rPr>
        <w:t xml:space="preserve">and Monsanto </w:t>
      </w:r>
      <w:r w:rsidRPr="00C43543">
        <w:rPr>
          <w:szCs w:val="28"/>
          <w14:ligatures w14:val="standardContextual"/>
        </w:rPr>
        <w:t>enjoyed a</w:t>
      </w:r>
      <w:r w:rsidR="00C23EB2" w:rsidRPr="00C43543">
        <w:rPr>
          <w:szCs w:val="28"/>
          <w14:ligatures w14:val="standardContextual"/>
        </w:rPr>
        <w:t xml:space="preserve"> </w:t>
      </w:r>
      <w:r w:rsidRPr="00C43543">
        <w:rPr>
          <w:szCs w:val="28"/>
          <w14:ligatures w14:val="standardContextual"/>
        </w:rPr>
        <w:t xml:space="preserve">monopoly in the U.S. market. But as Monsanto knew early on, </w:t>
      </w:r>
      <w:r w:rsidR="00C23EB2" w:rsidRPr="00C43543">
        <w:rPr>
          <w:szCs w:val="28"/>
          <w14:ligatures w14:val="standardContextual"/>
        </w:rPr>
        <w:t>PCBs</w:t>
      </w:r>
      <w:r w:rsidRPr="00C43543">
        <w:rPr>
          <w:szCs w:val="28"/>
          <w14:ligatures w14:val="standardContextual"/>
        </w:rPr>
        <w:t xml:space="preserve"> were also highly toxic. </w:t>
      </w:r>
      <w:proofErr w:type="gramStart"/>
      <w:r w:rsidR="00256B0B" w:rsidRPr="00C43543">
        <w:rPr>
          <w:szCs w:val="28"/>
          <w14:ligatures w14:val="standardContextual"/>
        </w:rPr>
        <w:t>So</w:t>
      </w:r>
      <w:proofErr w:type="gramEnd"/>
      <w:r w:rsidR="00256B0B" w:rsidRPr="00C43543">
        <w:rPr>
          <w:szCs w:val="28"/>
          <w14:ligatures w14:val="standardContextual"/>
        </w:rPr>
        <w:t xml:space="preserve"> a </w:t>
      </w:r>
      <w:r w:rsidRPr="00C43543">
        <w:rPr>
          <w:szCs w:val="28"/>
          <w14:ligatures w14:val="standardContextual"/>
        </w:rPr>
        <w:t xml:space="preserve">monopoly on sales wasn’t enough; Monsanto </w:t>
      </w:r>
      <w:r w:rsidR="00690A95" w:rsidRPr="00C43543">
        <w:rPr>
          <w:szCs w:val="28"/>
          <w14:ligatures w14:val="standardContextual"/>
        </w:rPr>
        <w:t>wanted</w:t>
      </w:r>
      <w:r w:rsidRPr="00C43543">
        <w:rPr>
          <w:szCs w:val="28"/>
          <w14:ligatures w14:val="standardContextual"/>
        </w:rPr>
        <w:t xml:space="preserve"> a monopoly on information. </w:t>
      </w:r>
      <w:r w:rsidR="00256B0B" w:rsidRPr="00C43543">
        <w:rPr>
          <w:szCs w:val="28"/>
          <w14:ligatures w14:val="standardContextual"/>
        </w:rPr>
        <w:t>Ex</w:t>
      </w:r>
      <w:r w:rsidR="00001FC5" w:rsidRPr="00C43543">
        <w:rPr>
          <w:szCs w:val="28"/>
          <w14:ligatures w14:val="standardContextual"/>
        </w:rPr>
        <w:t xml:space="preserve">ecutives at </w:t>
      </w:r>
      <w:r w:rsidR="006301EA" w:rsidRPr="00C43543">
        <w:rPr>
          <w:szCs w:val="28"/>
          <w14:ligatures w14:val="standardContextual"/>
        </w:rPr>
        <w:t>the</w:t>
      </w:r>
      <w:r w:rsidR="008B7188" w:rsidRPr="00C43543">
        <w:rPr>
          <w:szCs w:val="28"/>
          <w14:ligatures w14:val="standardContextual"/>
        </w:rPr>
        <w:t xml:space="preserve"> </w:t>
      </w:r>
      <w:r w:rsidR="00A710C1" w:rsidRPr="00C43543">
        <w:rPr>
          <w:szCs w:val="28"/>
          <w14:ligatures w14:val="standardContextual"/>
        </w:rPr>
        <w:t>St. Louis, Missouri</w:t>
      </w:r>
      <w:r w:rsidR="00001FC5" w:rsidRPr="00C43543">
        <w:rPr>
          <w:szCs w:val="28"/>
          <w14:ligatures w14:val="standardContextual"/>
        </w:rPr>
        <w:t xml:space="preserve"> headquarters</w:t>
      </w:r>
      <w:r w:rsidR="00A710C1" w:rsidRPr="00C43543">
        <w:rPr>
          <w:szCs w:val="28"/>
          <w14:ligatures w14:val="standardContextual"/>
        </w:rPr>
        <w:t xml:space="preserve"> </w:t>
      </w:r>
      <w:r w:rsidR="00690A95" w:rsidRPr="00C43543">
        <w:rPr>
          <w:szCs w:val="28"/>
          <w14:ligatures w14:val="standardContextual"/>
        </w:rPr>
        <w:t xml:space="preserve">thus </w:t>
      </w:r>
      <w:r w:rsidR="00E91444" w:rsidRPr="00C43543">
        <w:rPr>
          <w:szCs w:val="28"/>
          <w14:ligatures w14:val="standardContextual"/>
        </w:rPr>
        <w:t>orchestrated</w:t>
      </w:r>
      <w:r w:rsidR="00001FC5" w:rsidRPr="00C43543">
        <w:rPr>
          <w:szCs w:val="28"/>
          <w14:ligatures w14:val="standardContextual"/>
        </w:rPr>
        <w:t xml:space="preserve"> an </w:t>
      </w:r>
      <w:r w:rsidRPr="00C43543">
        <w:rPr>
          <w:szCs w:val="28"/>
          <w14:ligatures w14:val="standardContextual"/>
        </w:rPr>
        <w:t xml:space="preserve">elaborate, decades-long </w:t>
      </w:r>
      <w:r w:rsidR="00256B0B" w:rsidRPr="00C43543">
        <w:rPr>
          <w:szCs w:val="28"/>
          <w14:ligatures w14:val="standardContextual"/>
        </w:rPr>
        <w:t>plan</w:t>
      </w:r>
      <w:r w:rsidRPr="00C43543">
        <w:rPr>
          <w:szCs w:val="28"/>
          <w14:ligatures w14:val="standardContextual"/>
        </w:rPr>
        <w:t xml:space="preserve"> </w:t>
      </w:r>
      <w:r w:rsidR="00741447" w:rsidRPr="00C43543">
        <w:rPr>
          <w:szCs w:val="28"/>
          <w14:ligatures w14:val="standardContextual"/>
        </w:rPr>
        <w:t xml:space="preserve">to conceal </w:t>
      </w:r>
      <w:r w:rsidRPr="00C43543">
        <w:rPr>
          <w:szCs w:val="28"/>
          <w14:ligatures w14:val="standardContextual"/>
        </w:rPr>
        <w:t xml:space="preserve">the dangers of PCBs, </w:t>
      </w:r>
      <w:r w:rsidR="00741447" w:rsidRPr="00C43543">
        <w:rPr>
          <w:szCs w:val="28"/>
          <w14:ligatures w14:val="standardContextual"/>
        </w:rPr>
        <w:t xml:space="preserve">exalting corporate profits over </w:t>
      </w:r>
      <w:r w:rsidRPr="00C43543">
        <w:rPr>
          <w:szCs w:val="28"/>
          <w14:ligatures w14:val="standardContextual"/>
        </w:rPr>
        <w:t xml:space="preserve">human health. </w:t>
      </w:r>
    </w:p>
    <w:p w14:paraId="17066181" w14:textId="09FA3C1E" w:rsidR="00AF3839" w:rsidRPr="00C43543" w:rsidRDefault="00AF3839" w:rsidP="00742279">
      <w:pPr>
        <w:pStyle w:val="BodyText"/>
        <w:rPr>
          <w:szCs w:val="28"/>
          <w14:ligatures w14:val="standardContextual"/>
        </w:rPr>
      </w:pPr>
      <w:r w:rsidRPr="00C43543">
        <w:rPr>
          <w:szCs w:val="28"/>
          <w14:ligatures w14:val="standardContextual"/>
        </w:rPr>
        <w:t xml:space="preserve">The plaintiffs are teachers who suffered permanent brain damage from exposure to PCBs that, unbeknownst to them, were </w:t>
      </w:r>
      <w:r w:rsidR="00585562" w:rsidRPr="00C43543">
        <w:rPr>
          <w:szCs w:val="28"/>
          <w14:ligatures w14:val="standardContextual"/>
        </w:rPr>
        <w:t xml:space="preserve">found </w:t>
      </w:r>
      <w:r w:rsidRPr="00C43543">
        <w:rPr>
          <w:szCs w:val="28"/>
          <w14:ligatures w14:val="standardContextual"/>
        </w:rPr>
        <w:t xml:space="preserve">in their school’s lighting and caulking. After a seven-week trial, a jury found Monsanto responsible. On appeal, Monsanto </w:t>
      </w:r>
      <w:r w:rsidR="00376A7A" w:rsidRPr="00C43543">
        <w:rPr>
          <w:szCs w:val="28"/>
          <w14:ligatures w14:val="standardContextual"/>
        </w:rPr>
        <w:t>does</w:t>
      </w:r>
      <w:r w:rsidR="00256B0B" w:rsidRPr="00C43543">
        <w:rPr>
          <w:szCs w:val="28"/>
          <w14:ligatures w14:val="standardContextual"/>
        </w:rPr>
        <w:t>n’</w:t>
      </w:r>
      <w:r w:rsidR="00376A7A" w:rsidRPr="00C43543">
        <w:rPr>
          <w:szCs w:val="28"/>
          <w14:ligatures w14:val="standardContextual"/>
        </w:rPr>
        <w:t xml:space="preserve">t </w:t>
      </w:r>
      <w:r w:rsidRPr="00C43543">
        <w:rPr>
          <w:szCs w:val="28"/>
          <w14:ligatures w14:val="standardContextual"/>
        </w:rPr>
        <w:t xml:space="preserve">deny that it made and sold the PCBs </w:t>
      </w:r>
      <w:r w:rsidR="00256B0B" w:rsidRPr="00C43543">
        <w:rPr>
          <w:szCs w:val="28"/>
          <w14:ligatures w14:val="standardContextual"/>
        </w:rPr>
        <w:t xml:space="preserve">found </w:t>
      </w:r>
      <w:r w:rsidRPr="00C43543">
        <w:rPr>
          <w:szCs w:val="28"/>
          <w14:ligatures w14:val="standardContextual"/>
        </w:rPr>
        <w:t>in the school. It no longer denies, as it did for years, that its PCBs are toxic. It does</w:t>
      </w:r>
      <w:r w:rsidR="00376A7A" w:rsidRPr="00C43543">
        <w:rPr>
          <w:szCs w:val="28"/>
          <w14:ligatures w14:val="standardContextual"/>
        </w:rPr>
        <w:t>n</w:t>
      </w:r>
      <w:r w:rsidR="00256B0B" w:rsidRPr="00C43543">
        <w:rPr>
          <w:szCs w:val="28"/>
          <w14:ligatures w14:val="standardContextual"/>
        </w:rPr>
        <w:t>’</w:t>
      </w:r>
      <w:r w:rsidR="00376A7A" w:rsidRPr="00C43543">
        <w:rPr>
          <w:szCs w:val="28"/>
          <w14:ligatures w14:val="standardContextual"/>
        </w:rPr>
        <w:t>t</w:t>
      </w:r>
      <w:r w:rsidRPr="00C43543">
        <w:rPr>
          <w:szCs w:val="28"/>
          <w14:ligatures w14:val="standardContextual"/>
        </w:rPr>
        <w:t xml:space="preserve"> deny that the teachers’ brain damage is real.</w:t>
      </w:r>
      <w:r w:rsidR="00256B0B" w:rsidRPr="00C43543">
        <w:rPr>
          <w:szCs w:val="28"/>
          <w14:ligatures w14:val="standardContextual"/>
        </w:rPr>
        <w:t xml:space="preserve"> And it doesn’t deny</w:t>
      </w:r>
      <w:r w:rsidRPr="00C43543">
        <w:rPr>
          <w:szCs w:val="28"/>
          <w14:ligatures w14:val="standardContextual"/>
        </w:rPr>
        <w:t xml:space="preserve"> that the jury set </w:t>
      </w:r>
      <w:r w:rsidR="00690A95" w:rsidRPr="00C43543">
        <w:rPr>
          <w:szCs w:val="28"/>
          <w14:ligatures w14:val="standardContextual"/>
        </w:rPr>
        <w:t>appropriate</w:t>
      </w:r>
      <w:r w:rsidRPr="00C43543">
        <w:rPr>
          <w:szCs w:val="28"/>
          <w14:ligatures w14:val="standardContextual"/>
        </w:rPr>
        <w:t xml:space="preserve"> compensation for the teachers’</w:t>
      </w:r>
      <w:r w:rsidR="006B463D" w:rsidRPr="00C43543">
        <w:rPr>
          <w:szCs w:val="28"/>
          <w14:ligatures w14:val="standardContextual"/>
        </w:rPr>
        <w:t xml:space="preserve"> </w:t>
      </w:r>
      <w:r w:rsidRPr="00C43543">
        <w:rPr>
          <w:szCs w:val="28"/>
          <w14:ligatures w14:val="standardContextual"/>
        </w:rPr>
        <w:t>injur</w:t>
      </w:r>
      <w:r w:rsidR="006B463D" w:rsidRPr="00C43543">
        <w:rPr>
          <w:szCs w:val="28"/>
          <w14:ligatures w14:val="standardContextual"/>
        </w:rPr>
        <w:t>y</w:t>
      </w:r>
      <w:r w:rsidRPr="00C43543">
        <w:rPr>
          <w:szCs w:val="28"/>
          <w14:ligatures w14:val="standardContextual"/>
        </w:rPr>
        <w:t xml:space="preserve">. </w:t>
      </w:r>
      <w:r w:rsidR="006301EA" w:rsidRPr="00C43543">
        <w:rPr>
          <w:szCs w:val="28"/>
          <w14:ligatures w14:val="standardContextual"/>
        </w:rPr>
        <w:t>Yet</w:t>
      </w:r>
      <w:r w:rsidRPr="00C43543">
        <w:rPr>
          <w:szCs w:val="28"/>
          <w14:ligatures w14:val="standardContextual"/>
        </w:rPr>
        <w:t xml:space="preserve">, </w:t>
      </w:r>
      <w:r w:rsidR="00ED2BB1" w:rsidRPr="00C43543">
        <w:rPr>
          <w:szCs w:val="28"/>
          <w14:ligatures w14:val="standardContextual"/>
        </w:rPr>
        <w:t>taking</w:t>
      </w:r>
      <w:r w:rsidRPr="00C43543">
        <w:rPr>
          <w:szCs w:val="28"/>
          <w14:ligatures w14:val="standardContextual"/>
        </w:rPr>
        <w:t xml:space="preserve"> a kitchen-sink approach, Monsanto’s 245-page brief </w:t>
      </w:r>
      <w:r w:rsidR="004903FB" w:rsidRPr="00C43543">
        <w:rPr>
          <w:szCs w:val="28"/>
          <w14:ligatures w14:val="standardContextual"/>
        </w:rPr>
        <w:t xml:space="preserve">advances every </w:t>
      </w:r>
      <w:r w:rsidR="00256B0B" w:rsidRPr="00C43543">
        <w:rPr>
          <w:szCs w:val="28"/>
          <w14:ligatures w14:val="standardContextual"/>
        </w:rPr>
        <w:t xml:space="preserve">other </w:t>
      </w:r>
      <w:r w:rsidR="004903FB" w:rsidRPr="00C43543">
        <w:rPr>
          <w:szCs w:val="28"/>
          <w14:ligatures w14:val="standardContextual"/>
        </w:rPr>
        <w:t>conceivable attac</w:t>
      </w:r>
      <w:r w:rsidR="00256B0B" w:rsidRPr="00C43543">
        <w:rPr>
          <w:szCs w:val="28"/>
          <w14:ligatures w14:val="standardContextual"/>
        </w:rPr>
        <w:t>k on</w:t>
      </w:r>
      <w:r w:rsidR="004903FB" w:rsidRPr="00C43543">
        <w:rPr>
          <w:szCs w:val="28"/>
          <w14:ligatures w14:val="standardContextual"/>
        </w:rPr>
        <w:t xml:space="preserve"> </w:t>
      </w:r>
      <w:r w:rsidR="00360EFA" w:rsidRPr="00C43543">
        <w:rPr>
          <w:szCs w:val="28"/>
          <w14:ligatures w14:val="standardContextual"/>
        </w:rPr>
        <w:t xml:space="preserve">the </w:t>
      </w:r>
      <w:r w:rsidR="004903FB" w:rsidRPr="00C43543">
        <w:rPr>
          <w:szCs w:val="28"/>
          <w14:ligatures w14:val="standardContextual"/>
        </w:rPr>
        <w:t>verdict</w:t>
      </w:r>
      <w:r w:rsidR="00001FC5" w:rsidRPr="00C43543">
        <w:rPr>
          <w:szCs w:val="28"/>
          <w14:ligatures w14:val="standardContextual"/>
        </w:rPr>
        <w:t>:</w:t>
      </w:r>
    </w:p>
    <w:p w14:paraId="6AD742B7" w14:textId="38D06808" w:rsidR="00AF3839" w:rsidRPr="00C43543" w:rsidRDefault="00AF3839" w:rsidP="00742279">
      <w:pPr>
        <w:pStyle w:val="BodyText"/>
        <w:rPr>
          <w:szCs w:val="28"/>
          <w14:ligatures w14:val="standardContextual"/>
        </w:rPr>
      </w:pPr>
      <w:r w:rsidRPr="00C43543">
        <w:rPr>
          <w:b/>
          <w:bCs/>
          <w:szCs w:val="28"/>
          <w14:ligatures w14:val="standardContextual"/>
        </w:rPr>
        <w:lastRenderedPageBreak/>
        <w:t>I.</w:t>
      </w:r>
      <w:r w:rsidRPr="00C43543">
        <w:rPr>
          <w:szCs w:val="28"/>
          <w14:ligatures w14:val="standardContextual"/>
        </w:rPr>
        <w:t xml:space="preserve"> </w:t>
      </w:r>
      <w:r w:rsidRPr="00C43543">
        <w:rPr>
          <w:b/>
          <w:bCs/>
          <w:i/>
          <w:iCs/>
          <w:szCs w:val="28"/>
          <w14:ligatures w14:val="standardContextual"/>
        </w:rPr>
        <w:t>Choice of Law.</w:t>
      </w:r>
      <w:r w:rsidRPr="00C43543">
        <w:rPr>
          <w:szCs w:val="28"/>
          <w14:ligatures w14:val="standardContextual"/>
        </w:rPr>
        <w:t xml:space="preserve"> Monsanto complains (at 27-49, 193-212) that it was unfair to apply the law of its home state, Missouri, to punish and deny repose for</w:t>
      </w:r>
      <w:r w:rsidR="004903FB" w:rsidRPr="00C43543">
        <w:rPr>
          <w:szCs w:val="28"/>
          <w14:ligatures w14:val="standardContextual"/>
        </w:rPr>
        <w:t xml:space="preserve"> </w:t>
      </w:r>
      <w:r w:rsidR="00382CFE" w:rsidRPr="00C43543">
        <w:rPr>
          <w:szCs w:val="28"/>
          <w14:ligatures w14:val="standardContextual"/>
        </w:rPr>
        <w:t xml:space="preserve">its </w:t>
      </w:r>
      <w:r w:rsidRPr="00C43543">
        <w:rPr>
          <w:szCs w:val="28"/>
          <w14:ligatures w14:val="standardContextual"/>
        </w:rPr>
        <w:t xml:space="preserve">conduct </w:t>
      </w:r>
      <w:r w:rsidR="00256B0B" w:rsidRPr="00C43543">
        <w:rPr>
          <w:szCs w:val="28"/>
          <w14:ligatures w14:val="standardContextual"/>
        </w:rPr>
        <w:t xml:space="preserve">in </w:t>
      </w:r>
      <w:r w:rsidRPr="00C43543">
        <w:rPr>
          <w:szCs w:val="28"/>
          <w14:ligatures w14:val="standardContextual"/>
        </w:rPr>
        <w:t>Mi</w:t>
      </w:r>
      <w:r w:rsidR="00741447" w:rsidRPr="00C43543">
        <w:rPr>
          <w:szCs w:val="28"/>
          <w14:ligatures w14:val="standardContextual"/>
        </w:rPr>
        <w:t>ssouri</w:t>
      </w:r>
      <w:r w:rsidRPr="00C43543">
        <w:rPr>
          <w:szCs w:val="28"/>
          <w14:ligatures w14:val="standardContextual"/>
        </w:rPr>
        <w:t xml:space="preserve">. </w:t>
      </w:r>
      <w:r w:rsidR="00741447" w:rsidRPr="00C43543">
        <w:rPr>
          <w:szCs w:val="28"/>
          <w14:ligatures w14:val="standardContextual"/>
        </w:rPr>
        <w:t xml:space="preserve">But Missouri obviously has the greatest interest in punishing that conduct, and </w:t>
      </w:r>
      <w:r w:rsidRPr="00C43543">
        <w:rPr>
          <w:szCs w:val="28"/>
          <w14:ligatures w14:val="standardContextual"/>
        </w:rPr>
        <w:t xml:space="preserve">Monsanto fails to confront a half a century of precedent—including </w:t>
      </w:r>
      <w:r w:rsidRPr="00C43543">
        <w:rPr>
          <w:i/>
          <w:iCs/>
          <w:szCs w:val="28"/>
          <w14:ligatures w14:val="standardContextual"/>
        </w:rPr>
        <w:t>Johnson v. Spider Staging Co.</w:t>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87 Wn.2d 577 (1976)</w:t>
      </w:r>
      <w:r w:rsidR="00EC4C3B" w:rsidRPr="00C43543">
        <w:rPr>
          <w:szCs w:val="28"/>
          <w14:ligatures w14:val="standardContextual"/>
        </w:rPr>
        <w:fldChar w:fldCharType="begin"/>
      </w:r>
      <w:r w:rsidR="00EC4C3B" w:rsidRPr="00C43543">
        <w:rPr>
          <w:szCs w:val="28"/>
          <w14:ligatures w14:val="standardContextual"/>
        </w:rPr>
        <w:instrText xml:space="preserve"> TA \l "</w:instrText>
      </w:r>
      <w:r w:rsidR="00EC4C3B" w:rsidRPr="00C43543">
        <w:rPr>
          <w:i/>
          <w:iCs/>
          <w:szCs w:val="28"/>
          <w14:ligatures w14:val="standardContextual"/>
        </w:rPr>
        <w:instrText>Johnson v. Spider Staging Co.,</w:instrText>
      </w:r>
      <w:r w:rsidR="00EC4C3B" w:rsidRPr="00C43543">
        <w:rPr>
          <w:i/>
          <w:iCs/>
          <w:szCs w:val="28"/>
          <w14:ligatures w14:val="standardContextual"/>
        </w:rPr>
        <w:br/>
      </w:r>
      <w:r w:rsidR="00EC4C3B" w:rsidRPr="00C43543">
        <w:rPr>
          <w:szCs w:val="28"/>
          <w14:ligatures w14:val="standardContextual"/>
        </w:rPr>
        <w:instrText xml:space="preserve">87 Wn.2d 577 (1976)" \s "Spider Staging Co., 87 Wn.2d 577" \c 1 </w:instrText>
      </w:r>
      <w:r w:rsidR="00EC4C3B" w:rsidRPr="00C43543">
        <w:rPr>
          <w:szCs w:val="28"/>
          <w14:ligatures w14:val="standardContextual"/>
        </w:rPr>
        <w:fldChar w:fldCharType="end"/>
      </w:r>
      <w:r w:rsidRPr="00C43543">
        <w:rPr>
          <w:szCs w:val="28"/>
          <w14:ligatures w14:val="standardContextual"/>
        </w:rPr>
        <w:t>—mandating the application of the most interested state’s law</w:t>
      </w:r>
      <w:r w:rsidR="004903FB" w:rsidRPr="00C43543">
        <w:rPr>
          <w:szCs w:val="28"/>
          <w14:ligatures w14:val="standardContextual"/>
        </w:rPr>
        <w:t xml:space="preserve"> to each issue</w:t>
      </w:r>
      <w:r w:rsidRPr="00C43543">
        <w:rPr>
          <w:szCs w:val="28"/>
          <w14:ligatures w14:val="standardContextual"/>
        </w:rPr>
        <w:t>. Monsanto</w:t>
      </w:r>
      <w:r w:rsidR="00A04B7B" w:rsidRPr="00C43543">
        <w:rPr>
          <w:szCs w:val="28"/>
          <w14:ligatures w14:val="standardContextual"/>
        </w:rPr>
        <w:t xml:space="preserve"> identif</w:t>
      </w:r>
      <w:r w:rsidR="00256B0B" w:rsidRPr="00C43543">
        <w:rPr>
          <w:szCs w:val="28"/>
          <w14:ligatures w14:val="standardContextual"/>
        </w:rPr>
        <w:t>ies no</w:t>
      </w:r>
      <w:r w:rsidRPr="00C43543">
        <w:rPr>
          <w:szCs w:val="28"/>
          <w14:ligatures w14:val="standardContextual"/>
        </w:rPr>
        <w:t xml:space="preserve"> evidence that the legislature </w:t>
      </w:r>
      <w:r w:rsidR="009D6B5A" w:rsidRPr="00C43543">
        <w:rPr>
          <w:szCs w:val="28"/>
          <w14:ligatures w14:val="standardContextual"/>
        </w:rPr>
        <w:t>meant to override</w:t>
      </w:r>
      <w:r w:rsidRPr="00C43543">
        <w:rPr>
          <w:szCs w:val="28"/>
          <w14:ligatures w14:val="standardContextual"/>
        </w:rPr>
        <w:t xml:space="preserve"> that precedent. And this Court has </w:t>
      </w:r>
      <w:r w:rsidR="00A04B7B" w:rsidRPr="00C43543">
        <w:rPr>
          <w:szCs w:val="28"/>
          <w14:ligatures w14:val="standardContextual"/>
        </w:rPr>
        <w:t>adhered to</w:t>
      </w:r>
      <w:r w:rsidRPr="00C43543">
        <w:rPr>
          <w:szCs w:val="28"/>
          <w14:ligatures w14:val="standardContextual"/>
        </w:rPr>
        <w:t xml:space="preserve"> </w:t>
      </w:r>
      <w:r w:rsidRPr="00C43543">
        <w:rPr>
          <w:i/>
          <w:iCs/>
          <w:szCs w:val="28"/>
          <w14:ligatures w14:val="standardContextual"/>
        </w:rPr>
        <w:t>Spider Staging</w:t>
      </w:r>
      <w:r w:rsidRPr="00C43543">
        <w:rPr>
          <w:szCs w:val="28"/>
          <w14:ligatures w14:val="standardContextual"/>
        </w:rPr>
        <w:t xml:space="preserve"> in cases under the Washington Products Liability Act, holding that the </w:t>
      </w:r>
      <w:r w:rsidR="009D6B5A" w:rsidRPr="00C43543">
        <w:rPr>
          <w:szCs w:val="28"/>
          <w14:ligatures w14:val="standardContextual"/>
        </w:rPr>
        <w:t>law</w:t>
      </w:r>
      <w:r w:rsidR="00B13153" w:rsidRPr="00C43543">
        <w:rPr>
          <w:szCs w:val="28"/>
          <w14:ligatures w14:val="standardContextual"/>
        </w:rPr>
        <w:t xml:space="preserve"> that applies is that</w:t>
      </w:r>
      <w:r w:rsidR="009D6B5A" w:rsidRPr="00C43543">
        <w:rPr>
          <w:szCs w:val="28"/>
          <w14:ligatures w14:val="standardContextual"/>
        </w:rPr>
        <w:t xml:space="preserve"> of the</w:t>
      </w:r>
      <w:r w:rsidRPr="00C43543">
        <w:rPr>
          <w:szCs w:val="28"/>
          <w14:ligatures w14:val="standardContextual"/>
        </w:rPr>
        <w:t xml:space="preserve"> state where the tortious conduct occurred. </w:t>
      </w:r>
      <w:r w:rsidRPr="00C43543">
        <w:rPr>
          <w:i/>
          <w:iCs/>
          <w:szCs w:val="28"/>
          <w14:ligatures w14:val="standardContextual"/>
        </w:rPr>
        <w:t>See Zenaida-Garcia v. Recovery Sys. Tech.</w:t>
      </w:r>
      <w:r w:rsidRPr="00C43543">
        <w:rPr>
          <w:szCs w:val="28"/>
          <w14:ligatures w14:val="standardContextual"/>
        </w:rPr>
        <w:t xml:space="preserve">, 128 </w:t>
      </w:r>
      <w:proofErr w:type="spellStart"/>
      <w:r w:rsidRPr="00C43543">
        <w:rPr>
          <w:szCs w:val="28"/>
          <w14:ligatures w14:val="standardContextual"/>
        </w:rPr>
        <w:t>Wn</w:t>
      </w:r>
      <w:proofErr w:type="spellEnd"/>
      <w:r w:rsidRPr="00C43543">
        <w:rPr>
          <w:szCs w:val="28"/>
          <w14:ligatures w14:val="standardContextual"/>
        </w:rPr>
        <w:t xml:space="preserve">. </w:t>
      </w:r>
      <w:r w:rsidR="00256B0B" w:rsidRPr="00C43543">
        <w:rPr>
          <w:szCs w:val="28"/>
          <w14:ligatures w14:val="standardContextual"/>
        </w:rPr>
        <w:t xml:space="preserve">App. </w:t>
      </w:r>
      <w:r w:rsidRPr="00C43543">
        <w:rPr>
          <w:szCs w:val="28"/>
          <w14:ligatures w14:val="standardContextual"/>
        </w:rPr>
        <w:t>256</w:t>
      </w:r>
      <w:r w:rsidR="00EC4C3B" w:rsidRPr="00C43543">
        <w:rPr>
          <w:szCs w:val="28"/>
          <w14:ligatures w14:val="standardContextual"/>
        </w:rPr>
        <w:t xml:space="preserve"> </w:t>
      </w:r>
      <w:r w:rsidRPr="00C43543">
        <w:rPr>
          <w:szCs w:val="28"/>
          <w14:ligatures w14:val="standardContextual"/>
        </w:rPr>
        <w:t>(2005)</w:t>
      </w:r>
      <w:r w:rsidR="00DD7B52" w:rsidRPr="00C43543">
        <w:rPr>
          <w:szCs w:val="28"/>
          <w14:ligatures w14:val="standardContextual"/>
        </w:rPr>
        <w:fldChar w:fldCharType="begin"/>
      </w:r>
      <w:r w:rsidR="00DD7B52" w:rsidRPr="00C43543">
        <w:rPr>
          <w:szCs w:val="28"/>
          <w14:ligatures w14:val="standardContextual"/>
        </w:rPr>
        <w:instrText xml:space="preserve"> TA \l "</w:instrText>
      </w:r>
      <w:r w:rsidR="00DD7B52" w:rsidRPr="00C43543">
        <w:rPr>
          <w:i/>
          <w:iCs/>
          <w:szCs w:val="28"/>
          <w14:ligatures w14:val="standardContextual"/>
        </w:rPr>
        <w:instrText>Zenaida-Garcia v. Recovery Systems Technology, Inc.</w:instrText>
      </w:r>
      <w:r w:rsidR="00DD7B52" w:rsidRPr="00C43543">
        <w:rPr>
          <w:szCs w:val="28"/>
          <w14:ligatures w14:val="standardContextual"/>
        </w:rPr>
        <w:instrText>,</w:instrText>
      </w:r>
      <w:r w:rsidR="00DD7B52" w:rsidRPr="00C43543">
        <w:rPr>
          <w:szCs w:val="28"/>
          <w14:ligatures w14:val="standardContextual"/>
        </w:rPr>
        <w:br/>
        <w:instrText xml:space="preserve">128 Wn. App. 256, 115 P.3d 1017 (2005)" \s "Zenaida-Garcia, 128 Wn. App. 256" \c 1 </w:instrText>
      </w:r>
      <w:r w:rsidR="00DD7B52" w:rsidRPr="00C43543">
        <w:rPr>
          <w:szCs w:val="28"/>
          <w14:ligatures w14:val="standardContextual"/>
        </w:rPr>
        <w:fldChar w:fldCharType="end"/>
      </w:r>
      <w:r w:rsidRPr="00C43543">
        <w:rPr>
          <w:szCs w:val="28"/>
          <w14:ligatures w14:val="standardContextual"/>
        </w:rPr>
        <w:t xml:space="preserve"> (repose); </w:t>
      </w:r>
      <w:r w:rsidRPr="00C43543">
        <w:rPr>
          <w:i/>
          <w:szCs w:val="28"/>
          <w14:ligatures w14:val="standardContextual"/>
        </w:rPr>
        <w:t>Singh v. Edwards Lifesciences</w:t>
      </w:r>
      <w:r w:rsidRPr="00C43543">
        <w:rPr>
          <w:szCs w:val="28"/>
          <w14:ligatures w14:val="standardContextual"/>
        </w:rPr>
        <w:t xml:space="preserve">, 151 </w:t>
      </w:r>
      <w:proofErr w:type="spellStart"/>
      <w:r w:rsidRPr="00C43543">
        <w:rPr>
          <w:szCs w:val="28"/>
          <w14:ligatures w14:val="standardContextual"/>
        </w:rPr>
        <w:t>Wn</w:t>
      </w:r>
      <w:proofErr w:type="spellEnd"/>
      <w:r w:rsidRPr="00C43543">
        <w:rPr>
          <w:szCs w:val="28"/>
          <w14:ligatures w14:val="standardContextual"/>
        </w:rPr>
        <w:t>. App. 137 (2009)</w:t>
      </w:r>
      <w:r w:rsidR="00DD7B52" w:rsidRPr="00C43543">
        <w:rPr>
          <w:szCs w:val="28"/>
          <w14:ligatures w14:val="standardContextual"/>
        </w:rPr>
        <w:fldChar w:fldCharType="begin"/>
      </w:r>
      <w:r w:rsidR="00DD7B52" w:rsidRPr="00C43543">
        <w:rPr>
          <w:szCs w:val="28"/>
          <w14:ligatures w14:val="standardContextual"/>
        </w:rPr>
        <w:instrText xml:space="preserve"> TA \l "</w:instrText>
      </w:r>
      <w:r w:rsidR="00DD7B52" w:rsidRPr="00C43543">
        <w:rPr>
          <w:i/>
          <w:szCs w:val="28"/>
          <w14:ligatures w14:val="standardContextual"/>
        </w:rPr>
        <w:instrText>Singh v. Edwards Lifesciences</w:instrText>
      </w:r>
      <w:r w:rsidR="00DD7B52" w:rsidRPr="00C43543">
        <w:rPr>
          <w:szCs w:val="28"/>
          <w14:ligatures w14:val="standardContextual"/>
        </w:rPr>
        <w:instrText>,</w:instrText>
      </w:r>
      <w:r w:rsidR="00DD7B52" w:rsidRPr="00C43543">
        <w:rPr>
          <w:szCs w:val="28"/>
          <w14:ligatures w14:val="standardContextual"/>
        </w:rPr>
        <w:br/>
        <w:instrText xml:space="preserve">151 Wn. App. 137, 210 P.3d 337 (2009)" \s "Singh, 151 Wn. App. 137" \c 1 </w:instrText>
      </w:r>
      <w:r w:rsidR="00DD7B52" w:rsidRPr="00C43543">
        <w:rPr>
          <w:szCs w:val="28"/>
          <w14:ligatures w14:val="standardContextual"/>
        </w:rPr>
        <w:fldChar w:fldCharType="end"/>
      </w:r>
      <w:r w:rsidRPr="00C43543">
        <w:rPr>
          <w:szCs w:val="28"/>
          <w14:ligatures w14:val="standardContextual"/>
        </w:rPr>
        <w:t xml:space="preserve"> (punitive damages). It should do </w:t>
      </w:r>
      <w:r w:rsidR="009D6B5A" w:rsidRPr="00C43543">
        <w:rPr>
          <w:szCs w:val="28"/>
          <w14:ligatures w14:val="standardContextual"/>
        </w:rPr>
        <w:t>likewise here.</w:t>
      </w:r>
    </w:p>
    <w:p w14:paraId="5F2750CD" w14:textId="1379F770" w:rsidR="00AF3839" w:rsidRPr="00C43543" w:rsidRDefault="00AF3839" w:rsidP="00742279">
      <w:pPr>
        <w:pStyle w:val="BodyText"/>
        <w:rPr>
          <w:szCs w:val="28"/>
          <w14:ligatures w14:val="standardContextual"/>
        </w:rPr>
      </w:pPr>
      <w:r w:rsidRPr="00C43543">
        <w:rPr>
          <w:b/>
          <w:bCs/>
          <w:szCs w:val="28"/>
          <w14:ligatures w14:val="standardContextual"/>
        </w:rPr>
        <w:t>II.</w:t>
      </w:r>
      <w:r w:rsidRPr="00C43543">
        <w:rPr>
          <w:szCs w:val="28"/>
          <w14:ligatures w14:val="standardContextual"/>
        </w:rPr>
        <w:t xml:space="preserve"> </w:t>
      </w:r>
      <w:r w:rsidRPr="00C43543">
        <w:rPr>
          <w:b/>
          <w:bCs/>
          <w:i/>
          <w:iCs/>
          <w:szCs w:val="28"/>
          <w14:ligatures w14:val="standardContextual"/>
        </w:rPr>
        <w:t>Jury Instructions.</w:t>
      </w:r>
      <w:r w:rsidRPr="00C43543">
        <w:rPr>
          <w:szCs w:val="28"/>
          <w14:ligatures w14:val="standardContextual"/>
        </w:rPr>
        <w:t xml:space="preserve"> Monsanto </w:t>
      </w:r>
      <w:r w:rsidR="008B7188" w:rsidRPr="00C43543">
        <w:rPr>
          <w:szCs w:val="28"/>
          <w14:ligatures w14:val="standardContextual"/>
        </w:rPr>
        <w:t xml:space="preserve">next </w:t>
      </w:r>
      <w:r w:rsidRPr="00C43543">
        <w:rPr>
          <w:szCs w:val="28"/>
          <w14:ligatures w14:val="standardContextual"/>
        </w:rPr>
        <w:t>conte</w:t>
      </w:r>
      <w:r w:rsidR="00741447" w:rsidRPr="00C43543">
        <w:rPr>
          <w:szCs w:val="28"/>
          <w14:ligatures w14:val="standardContextual"/>
        </w:rPr>
        <w:t>nds</w:t>
      </w:r>
      <w:r w:rsidRPr="00C43543">
        <w:rPr>
          <w:szCs w:val="28"/>
          <w14:ligatures w14:val="standardContextual"/>
        </w:rPr>
        <w:t xml:space="preserve"> (at 49-66</w:t>
      </w:r>
      <w:r w:rsidR="00741447" w:rsidRPr="00C43543">
        <w:rPr>
          <w:szCs w:val="28"/>
          <w14:ligatures w14:val="standardContextual"/>
        </w:rPr>
        <w:t>)</w:t>
      </w:r>
      <w:r w:rsidR="006B463D" w:rsidRPr="00C43543">
        <w:rPr>
          <w:szCs w:val="28"/>
          <w14:ligatures w14:val="standardContextual"/>
        </w:rPr>
        <w:t xml:space="preserve"> </w:t>
      </w:r>
      <w:r w:rsidRPr="00C43543">
        <w:rPr>
          <w:szCs w:val="28"/>
          <w14:ligatures w14:val="standardContextual"/>
        </w:rPr>
        <w:t xml:space="preserve">that it was entitled to instructions on </w:t>
      </w:r>
      <w:r w:rsidR="00741447" w:rsidRPr="00C43543">
        <w:rPr>
          <w:szCs w:val="28"/>
          <w14:ligatures w14:val="standardContextual"/>
        </w:rPr>
        <w:t xml:space="preserve">its proposed </w:t>
      </w:r>
      <w:r w:rsidRPr="00C43543">
        <w:rPr>
          <w:szCs w:val="28"/>
          <w14:ligatures w14:val="standardContextual"/>
        </w:rPr>
        <w:t>“relevant product” and “sophisticated purchaser” defenses</w:t>
      </w:r>
      <w:r w:rsidR="006B463D" w:rsidRPr="00C43543">
        <w:rPr>
          <w:szCs w:val="28"/>
          <w14:ligatures w14:val="standardContextual"/>
        </w:rPr>
        <w:t xml:space="preserve">. This is meritless. </w:t>
      </w:r>
      <w:r w:rsidRPr="00C43543">
        <w:rPr>
          <w:szCs w:val="28"/>
          <w14:ligatures w14:val="standardContextual"/>
        </w:rPr>
        <w:t xml:space="preserve">PCBs </w:t>
      </w:r>
      <w:r w:rsidR="00256B0B" w:rsidRPr="00C43543">
        <w:rPr>
          <w:szCs w:val="28"/>
          <w14:ligatures w14:val="standardContextual"/>
        </w:rPr>
        <w:t xml:space="preserve">are </w:t>
      </w:r>
      <w:r w:rsidRPr="00C43543">
        <w:rPr>
          <w:szCs w:val="28"/>
          <w14:ligatures w14:val="standardContextual"/>
        </w:rPr>
        <w:t xml:space="preserve">the </w:t>
      </w:r>
      <w:r w:rsidR="006B463D" w:rsidRPr="00C43543">
        <w:rPr>
          <w:szCs w:val="28"/>
          <w14:ligatures w14:val="standardContextual"/>
        </w:rPr>
        <w:t>“</w:t>
      </w:r>
      <w:r w:rsidRPr="00C43543">
        <w:rPr>
          <w:szCs w:val="28"/>
          <w14:ligatures w14:val="standardContextual"/>
        </w:rPr>
        <w:t>relevant product</w:t>
      </w:r>
      <w:r w:rsidR="006B463D" w:rsidRPr="00C43543">
        <w:rPr>
          <w:szCs w:val="28"/>
          <w14:ligatures w14:val="standardContextual"/>
        </w:rPr>
        <w:t>”</w:t>
      </w:r>
      <w:r w:rsidR="00E91444" w:rsidRPr="00C43543">
        <w:rPr>
          <w:szCs w:val="28"/>
          <w14:ligatures w14:val="standardContextual"/>
        </w:rPr>
        <w:t xml:space="preserve">; </w:t>
      </w:r>
      <w:r w:rsidRPr="00C43543">
        <w:rPr>
          <w:szCs w:val="28"/>
          <w14:ligatures w14:val="standardContextual"/>
        </w:rPr>
        <w:t>Monsanto never warned the public</w:t>
      </w:r>
      <w:r w:rsidR="00E91444" w:rsidRPr="00C43543">
        <w:rPr>
          <w:szCs w:val="28"/>
          <w14:ligatures w14:val="standardContextual"/>
        </w:rPr>
        <w:t xml:space="preserve">; </w:t>
      </w:r>
      <w:r w:rsidR="00CE68E9" w:rsidRPr="00C43543">
        <w:rPr>
          <w:szCs w:val="28"/>
          <w14:ligatures w14:val="standardContextual"/>
        </w:rPr>
        <w:t>a</w:t>
      </w:r>
      <w:r w:rsidRPr="00C43543">
        <w:rPr>
          <w:szCs w:val="28"/>
          <w14:ligatures w14:val="standardContextual"/>
        </w:rPr>
        <w:t>nd Monsanto failed to show that it was reasonable to rely o</w:t>
      </w:r>
      <w:r w:rsidR="00256B0B" w:rsidRPr="00C43543">
        <w:rPr>
          <w:szCs w:val="28"/>
          <w14:ligatures w14:val="standardContextual"/>
        </w:rPr>
        <w:t xml:space="preserve">n </w:t>
      </w:r>
      <w:r w:rsidR="006B463D" w:rsidRPr="00C43543">
        <w:rPr>
          <w:szCs w:val="28"/>
          <w14:ligatures w14:val="standardContextual"/>
        </w:rPr>
        <w:t>“sophisticated purchasers” who</w:t>
      </w:r>
      <w:r w:rsidRPr="00C43543">
        <w:rPr>
          <w:szCs w:val="28"/>
          <w14:ligatures w14:val="standardContextual"/>
        </w:rPr>
        <w:t>, for</w:t>
      </w:r>
      <w:r w:rsidR="00741447" w:rsidRPr="00C43543">
        <w:rPr>
          <w:szCs w:val="28"/>
          <w14:ligatures w14:val="standardContextual"/>
        </w:rPr>
        <w:t xml:space="preserve"> </w:t>
      </w:r>
      <w:r w:rsidRPr="00C43543">
        <w:rPr>
          <w:szCs w:val="28"/>
          <w14:ligatures w14:val="standardContextual"/>
        </w:rPr>
        <w:t>decades, never warned anyone.</w:t>
      </w:r>
    </w:p>
    <w:p w14:paraId="0253BF17" w14:textId="22C6C387" w:rsidR="00AF3839" w:rsidRPr="00C43543" w:rsidRDefault="00AF3839" w:rsidP="00742279">
      <w:pPr>
        <w:pStyle w:val="BodyText"/>
        <w:rPr>
          <w:szCs w:val="28"/>
          <w14:ligatures w14:val="standardContextual"/>
        </w:rPr>
      </w:pPr>
      <w:r w:rsidRPr="00C43543">
        <w:rPr>
          <w:szCs w:val="28"/>
          <w14:ligatures w14:val="standardContextual"/>
        </w:rPr>
        <w:lastRenderedPageBreak/>
        <w:tab/>
      </w:r>
      <w:r w:rsidRPr="00C43543">
        <w:rPr>
          <w:b/>
          <w:bCs/>
          <w:szCs w:val="28"/>
          <w14:ligatures w14:val="standardContextual"/>
        </w:rPr>
        <w:t>III.</w:t>
      </w:r>
      <w:r w:rsidRPr="00C43543">
        <w:rPr>
          <w:szCs w:val="28"/>
          <w14:ligatures w14:val="standardContextual"/>
        </w:rPr>
        <w:t xml:space="preserve"> </w:t>
      </w:r>
      <w:r w:rsidRPr="00C43543">
        <w:rPr>
          <w:b/>
          <w:bCs/>
          <w:i/>
          <w:iCs/>
          <w:szCs w:val="28"/>
          <w14:ligatures w14:val="standardContextual"/>
        </w:rPr>
        <w:t xml:space="preserve">Experts. </w:t>
      </w:r>
      <w:r w:rsidRPr="00C43543">
        <w:rPr>
          <w:szCs w:val="28"/>
          <w14:ligatures w14:val="standardContextual"/>
        </w:rPr>
        <w:t xml:space="preserve">Monsanto devotes 64 pages (at 67-132) </w:t>
      </w:r>
      <w:r w:rsidR="00007E51" w:rsidRPr="00C43543">
        <w:rPr>
          <w:szCs w:val="28"/>
          <w14:ligatures w14:val="standardContextual"/>
        </w:rPr>
        <w:t xml:space="preserve">to attacks </w:t>
      </w:r>
      <w:r w:rsidRPr="00C43543">
        <w:rPr>
          <w:szCs w:val="28"/>
          <w14:ligatures w14:val="standardContextual"/>
        </w:rPr>
        <w:t>on the plaintiffs’ expert</w:t>
      </w:r>
      <w:r w:rsidR="004903FB" w:rsidRPr="00C43543">
        <w:rPr>
          <w:szCs w:val="28"/>
          <w14:ligatures w14:val="standardContextual"/>
        </w:rPr>
        <w:t>s</w:t>
      </w:r>
      <w:r w:rsidRPr="00C43543">
        <w:rPr>
          <w:szCs w:val="28"/>
          <w14:ligatures w14:val="standardContextual"/>
        </w:rPr>
        <w:t xml:space="preserve">. But </w:t>
      </w:r>
      <w:r w:rsidR="00C23EB2" w:rsidRPr="00C43543">
        <w:rPr>
          <w:szCs w:val="28"/>
          <w14:ligatures w14:val="standardContextual"/>
        </w:rPr>
        <w:t xml:space="preserve">virtually </w:t>
      </w:r>
      <w:proofErr w:type="gramStart"/>
      <w:r w:rsidR="00C23EB2" w:rsidRPr="00C43543">
        <w:rPr>
          <w:szCs w:val="28"/>
          <w14:ligatures w14:val="standardContextual"/>
        </w:rPr>
        <w:t>all of</w:t>
      </w:r>
      <w:proofErr w:type="gramEnd"/>
      <w:r w:rsidR="00C23EB2" w:rsidRPr="00C43543">
        <w:rPr>
          <w:szCs w:val="28"/>
          <w14:ligatures w14:val="standardContextual"/>
        </w:rPr>
        <w:t xml:space="preserve"> </w:t>
      </w:r>
      <w:r w:rsidRPr="00C43543">
        <w:rPr>
          <w:szCs w:val="28"/>
          <w14:ligatures w14:val="standardContextual"/>
        </w:rPr>
        <w:t>these attacks</w:t>
      </w:r>
      <w:r w:rsidR="004903FB" w:rsidRPr="00C43543">
        <w:rPr>
          <w:szCs w:val="28"/>
          <w14:ligatures w14:val="standardContextual"/>
        </w:rPr>
        <w:t>—</w:t>
      </w:r>
      <w:r w:rsidR="007D109A" w:rsidRPr="00C43543">
        <w:rPr>
          <w:szCs w:val="28"/>
          <w14:ligatures w14:val="standardContextual"/>
        </w:rPr>
        <w:t xml:space="preserve"> including challenges to the “application of science to [a] particular case”—go to the evidence’s “weight,” not its admissibility. </w:t>
      </w:r>
      <w:r w:rsidR="007D109A" w:rsidRPr="00C43543">
        <w:rPr>
          <w:i/>
          <w:iCs/>
          <w:szCs w:val="28"/>
          <w14:ligatures w14:val="standardContextual"/>
        </w:rPr>
        <w:t>State v. Copeland</w:t>
      </w:r>
      <w:r w:rsidR="007D109A" w:rsidRPr="00C43543">
        <w:rPr>
          <w:szCs w:val="28"/>
          <w14:ligatures w14:val="standardContextual"/>
        </w:rPr>
        <w:t>, 130 Wn.2d 244, 272 (1996)</w:t>
      </w:r>
      <w:r w:rsidRPr="00C43543">
        <w:rPr>
          <w:szCs w:val="28"/>
          <w14:ligatures w14:val="standardContextual"/>
        </w:rPr>
        <w:t xml:space="preserve">. The </w:t>
      </w:r>
      <w:r w:rsidR="00C23EB2" w:rsidRPr="00C43543">
        <w:rPr>
          <w:szCs w:val="28"/>
          <w14:ligatures w14:val="standardContextual"/>
        </w:rPr>
        <w:t xml:space="preserve">trial </w:t>
      </w:r>
      <w:r w:rsidRPr="00C43543">
        <w:rPr>
          <w:szCs w:val="28"/>
          <w14:ligatures w14:val="standardContextual"/>
        </w:rPr>
        <w:t>court’s discretion on thes</w:t>
      </w:r>
      <w:r w:rsidR="00C23EB2" w:rsidRPr="00C43543">
        <w:rPr>
          <w:szCs w:val="28"/>
          <w14:ligatures w14:val="standardContextual"/>
        </w:rPr>
        <w:t xml:space="preserve">e issues </w:t>
      </w:r>
      <w:r w:rsidRPr="00C43543">
        <w:rPr>
          <w:szCs w:val="28"/>
          <w14:ligatures w14:val="standardContextual"/>
        </w:rPr>
        <w:t xml:space="preserve">“will not be disturbed by an appellate court except for a very plain abuse thereof.” </w:t>
      </w:r>
      <w:r w:rsidR="00DD7B52" w:rsidRPr="00C43543">
        <w:rPr>
          <w:i/>
          <w:iCs/>
          <w:szCs w:val="28"/>
          <w14:ligatures w14:val="standardContextual"/>
        </w:rPr>
        <w:fldChar w:fldCharType="begin"/>
      </w:r>
      <w:r w:rsidR="00DD7B52" w:rsidRPr="00C43543">
        <w:rPr>
          <w:szCs w:val="28"/>
          <w14:ligatures w14:val="standardContextual"/>
        </w:rPr>
        <w:instrText xml:space="preserve"> TA \l "</w:instrText>
      </w:r>
      <w:r w:rsidR="00DD7B52" w:rsidRPr="00C43543">
        <w:rPr>
          <w:i/>
          <w:iCs/>
          <w:szCs w:val="28"/>
          <w14:ligatures w14:val="standardContextual"/>
        </w:rPr>
        <w:instrText>Katare v. Katare,</w:instrText>
      </w:r>
      <w:r w:rsidR="00DD7B52" w:rsidRPr="00C43543">
        <w:rPr>
          <w:szCs w:val="28"/>
          <w14:ligatures w14:val="standardContextual"/>
        </w:rPr>
        <w:br/>
        <w:instrText xml:space="preserve">175 Wn.2d 23, 283 P.3d 546 (2012)" \s "Katare v. Katare, 175 Wn.2d 23" \c 1 </w:instrText>
      </w:r>
      <w:r w:rsidR="00DD7B52" w:rsidRPr="00C43543">
        <w:rPr>
          <w:i/>
          <w:iCs/>
          <w:szCs w:val="28"/>
          <w14:ligatures w14:val="standardContextual"/>
        </w:rPr>
        <w:fldChar w:fldCharType="end"/>
      </w:r>
      <w:proofErr w:type="spellStart"/>
      <w:r w:rsidRPr="00C43543">
        <w:rPr>
          <w:i/>
          <w:iCs/>
          <w:szCs w:val="28"/>
          <w14:ligatures w14:val="standardContextual"/>
        </w:rPr>
        <w:t>Katare</w:t>
      </w:r>
      <w:proofErr w:type="spellEnd"/>
      <w:r w:rsidRPr="00C43543">
        <w:rPr>
          <w:i/>
          <w:iCs/>
          <w:szCs w:val="28"/>
          <w14:ligatures w14:val="standardContextual"/>
        </w:rPr>
        <w:t xml:space="preserve"> v. </w:t>
      </w:r>
      <w:proofErr w:type="spellStart"/>
      <w:r w:rsidRPr="00C43543">
        <w:rPr>
          <w:i/>
          <w:iCs/>
          <w:szCs w:val="28"/>
          <w14:ligatures w14:val="standardContextual"/>
        </w:rPr>
        <w:t>Katare</w:t>
      </w:r>
      <w:proofErr w:type="spellEnd"/>
      <w:r w:rsidRPr="00C43543">
        <w:rPr>
          <w:szCs w:val="28"/>
          <w14:ligatures w14:val="standardContextual"/>
        </w:rPr>
        <w:t xml:space="preserve">, 175 Wn.2d 23, 38 (2012). </w:t>
      </w:r>
      <w:r w:rsidR="00C23EB2" w:rsidRPr="00C43543">
        <w:rPr>
          <w:szCs w:val="28"/>
          <w14:ligatures w14:val="standardContextual"/>
        </w:rPr>
        <w:t>There was no</w:t>
      </w:r>
      <w:r w:rsidR="00A04B7B" w:rsidRPr="00C43543">
        <w:rPr>
          <w:szCs w:val="28"/>
          <w14:ligatures w14:val="standardContextual"/>
        </w:rPr>
        <w:t xml:space="preserve"> such abuse</w:t>
      </w:r>
      <w:r w:rsidR="00C23EB2" w:rsidRPr="00C43543">
        <w:rPr>
          <w:szCs w:val="28"/>
          <w14:ligatures w14:val="standardContextual"/>
        </w:rPr>
        <w:t xml:space="preserve"> here. </w:t>
      </w:r>
    </w:p>
    <w:p w14:paraId="61D67712" w14:textId="71DD609A" w:rsidR="00AF3839" w:rsidRPr="00C43543" w:rsidRDefault="00AF3839" w:rsidP="00742279">
      <w:pPr>
        <w:pStyle w:val="BodyText"/>
        <w:rPr>
          <w:szCs w:val="28"/>
          <w14:ligatures w14:val="standardContextual"/>
        </w:rPr>
      </w:pPr>
      <w:r w:rsidRPr="00C43543">
        <w:rPr>
          <w:szCs w:val="28"/>
          <w14:ligatures w14:val="standardContextual"/>
        </w:rPr>
        <w:tab/>
      </w:r>
      <w:r w:rsidRPr="00C43543">
        <w:rPr>
          <w:b/>
          <w:bCs/>
          <w:szCs w:val="28"/>
          <w14:ligatures w14:val="standardContextual"/>
        </w:rPr>
        <w:t>IV.</w:t>
      </w:r>
      <w:r w:rsidRPr="00C43543">
        <w:rPr>
          <w:szCs w:val="28"/>
          <w14:ligatures w14:val="standardContextual"/>
        </w:rPr>
        <w:t xml:space="preserve"> </w:t>
      </w:r>
      <w:r w:rsidRPr="00C43543">
        <w:rPr>
          <w:b/>
          <w:bCs/>
          <w:i/>
          <w:iCs/>
          <w:szCs w:val="28"/>
          <w14:ligatures w14:val="standardContextual"/>
        </w:rPr>
        <w:t>Sufficiency.</w:t>
      </w:r>
      <w:r w:rsidRPr="00C43543">
        <w:rPr>
          <w:b/>
          <w:bCs/>
          <w:szCs w:val="28"/>
          <w14:ligatures w14:val="standardContextual"/>
        </w:rPr>
        <w:t xml:space="preserve"> </w:t>
      </w:r>
      <w:r w:rsidRPr="00C43543">
        <w:rPr>
          <w:szCs w:val="28"/>
          <w14:ligatures w14:val="standardContextual"/>
        </w:rPr>
        <w:t>The</w:t>
      </w:r>
      <w:r w:rsidR="00256B0B" w:rsidRPr="00C43543">
        <w:rPr>
          <w:szCs w:val="28"/>
          <w14:ligatures w14:val="standardContextual"/>
        </w:rPr>
        <w:t xml:space="preserve"> </w:t>
      </w:r>
      <w:r w:rsidRPr="00C43543">
        <w:rPr>
          <w:szCs w:val="28"/>
          <w14:ligatures w14:val="standardContextual"/>
        </w:rPr>
        <w:t xml:space="preserve">standard of review </w:t>
      </w:r>
      <w:r w:rsidR="00097955" w:rsidRPr="00C43543">
        <w:rPr>
          <w:szCs w:val="28"/>
          <w14:ligatures w14:val="standardContextual"/>
        </w:rPr>
        <w:t>is an equal, if not greater, o</w:t>
      </w:r>
      <w:r w:rsidRPr="00C43543">
        <w:rPr>
          <w:szCs w:val="28"/>
          <w14:ligatures w14:val="standardContextual"/>
        </w:rPr>
        <w:t xml:space="preserve">bstacle to Monsanto’s </w:t>
      </w:r>
      <w:r w:rsidR="00A04B7B" w:rsidRPr="00C43543">
        <w:rPr>
          <w:szCs w:val="28"/>
          <w14:ligatures w14:val="standardContextual"/>
        </w:rPr>
        <w:t>plea</w:t>
      </w:r>
      <w:r w:rsidRPr="00C43543">
        <w:rPr>
          <w:szCs w:val="28"/>
          <w14:ligatures w14:val="standardContextual"/>
        </w:rPr>
        <w:t xml:space="preserve"> (at 132-159) to overturn the </w:t>
      </w:r>
      <w:r w:rsidR="00256B0B" w:rsidRPr="00C43543">
        <w:rPr>
          <w:szCs w:val="28"/>
          <w14:ligatures w14:val="standardContextual"/>
        </w:rPr>
        <w:t xml:space="preserve">jury’s </w:t>
      </w:r>
      <w:r w:rsidRPr="00C43543">
        <w:rPr>
          <w:szCs w:val="28"/>
          <w14:ligatures w14:val="standardContextual"/>
        </w:rPr>
        <w:t xml:space="preserve">verdict for </w:t>
      </w:r>
      <w:r w:rsidR="00256B0B" w:rsidRPr="00C43543">
        <w:rPr>
          <w:szCs w:val="28"/>
          <w14:ligatures w14:val="standardContextual"/>
        </w:rPr>
        <w:t>in</w:t>
      </w:r>
      <w:r w:rsidRPr="00C43543">
        <w:rPr>
          <w:szCs w:val="28"/>
          <w14:ligatures w14:val="standardContextual"/>
        </w:rPr>
        <w:t xml:space="preserve">sufficient evidence. </w:t>
      </w:r>
      <w:r w:rsidR="00E83D09" w:rsidRPr="00C43543">
        <w:rPr>
          <w:szCs w:val="28"/>
          <w14:ligatures w14:val="standardContextual"/>
        </w:rPr>
        <w:t>Appellate courts don</w:t>
      </w:r>
      <w:r w:rsidR="00BF3A27" w:rsidRPr="00C43543">
        <w:rPr>
          <w:szCs w:val="28"/>
          <w14:ligatures w14:val="standardContextual"/>
        </w:rPr>
        <w:t>’</w:t>
      </w:r>
      <w:r w:rsidR="00E83D09" w:rsidRPr="00C43543">
        <w:rPr>
          <w:szCs w:val="28"/>
          <w14:ligatures w14:val="standardContextual"/>
        </w:rPr>
        <w:t xml:space="preserve">t </w:t>
      </w:r>
      <w:r w:rsidRPr="00C43543">
        <w:rPr>
          <w:szCs w:val="28"/>
          <w14:ligatures w14:val="standardContextual"/>
        </w:rPr>
        <w:t>retry</w:t>
      </w:r>
      <w:r w:rsidR="00BF3A27" w:rsidRPr="00C43543">
        <w:rPr>
          <w:szCs w:val="28"/>
          <w14:ligatures w14:val="standardContextual"/>
        </w:rPr>
        <w:t xml:space="preserve"> cases</w:t>
      </w:r>
      <w:r w:rsidRPr="00C43543">
        <w:rPr>
          <w:szCs w:val="28"/>
          <w14:ligatures w14:val="standardContextual"/>
        </w:rPr>
        <w:t xml:space="preserve"> on appeal</w:t>
      </w:r>
      <w:r w:rsidR="00BF3A27" w:rsidRPr="00C43543">
        <w:rPr>
          <w:szCs w:val="28"/>
          <w14:ligatures w14:val="standardContextual"/>
        </w:rPr>
        <w:t xml:space="preserve">, which is </w:t>
      </w:r>
      <w:r w:rsidR="008B7188" w:rsidRPr="00C43543">
        <w:rPr>
          <w:szCs w:val="28"/>
          <w14:ligatures w14:val="standardContextual"/>
        </w:rPr>
        <w:t xml:space="preserve">effectively </w:t>
      </w:r>
      <w:r w:rsidR="00BF3A27" w:rsidRPr="00C43543">
        <w:rPr>
          <w:szCs w:val="28"/>
          <w14:ligatures w14:val="standardContextual"/>
        </w:rPr>
        <w:t xml:space="preserve">what Monsanto </w:t>
      </w:r>
      <w:r w:rsidR="00741447" w:rsidRPr="00C43543">
        <w:rPr>
          <w:szCs w:val="28"/>
          <w14:ligatures w14:val="standardContextual"/>
        </w:rPr>
        <w:t>seeks</w:t>
      </w:r>
      <w:r w:rsidRPr="00C43543">
        <w:rPr>
          <w:szCs w:val="28"/>
          <w14:ligatures w14:val="standardContextual"/>
        </w:rPr>
        <w:t xml:space="preserve">. </w:t>
      </w:r>
      <w:r w:rsidR="00360EFA" w:rsidRPr="00C43543">
        <w:rPr>
          <w:szCs w:val="28"/>
          <w14:ligatures w14:val="standardContextual"/>
        </w:rPr>
        <w:t>And t</w:t>
      </w:r>
      <w:r w:rsidR="004903FB" w:rsidRPr="00C43543">
        <w:rPr>
          <w:szCs w:val="28"/>
          <w14:ligatures w14:val="standardContextual"/>
        </w:rPr>
        <w:t>he jury</w:t>
      </w:r>
      <w:r w:rsidR="00D34201" w:rsidRPr="00C43543">
        <w:rPr>
          <w:szCs w:val="28"/>
          <w14:ligatures w14:val="standardContextual"/>
        </w:rPr>
        <w:t xml:space="preserve"> here</w:t>
      </w:r>
      <w:r w:rsidR="00E83D09" w:rsidRPr="00C43543">
        <w:rPr>
          <w:szCs w:val="28"/>
          <w14:ligatures w14:val="standardContextual"/>
        </w:rPr>
        <w:t xml:space="preserve"> </w:t>
      </w:r>
      <w:r w:rsidR="004903FB" w:rsidRPr="00C43543">
        <w:rPr>
          <w:szCs w:val="28"/>
          <w14:ligatures w14:val="standardContextual"/>
        </w:rPr>
        <w:t xml:space="preserve">was presented with </w:t>
      </w:r>
      <w:r w:rsidR="00256B0B" w:rsidRPr="00C43543">
        <w:rPr>
          <w:szCs w:val="28"/>
          <w14:ligatures w14:val="standardContextual"/>
        </w:rPr>
        <w:t>overwhelming</w:t>
      </w:r>
      <w:r w:rsidR="004903FB" w:rsidRPr="00C43543">
        <w:rPr>
          <w:szCs w:val="28"/>
          <w14:ligatures w14:val="standardContextual"/>
        </w:rPr>
        <w:t xml:space="preserve"> evidence </w:t>
      </w:r>
      <w:r w:rsidR="00256B0B" w:rsidRPr="00C43543">
        <w:rPr>
          <w:szCs w:val="28"/>
          <w14:ligatures w14:val="standardContextual"/>
        </w:rPr>
        <w:t xml:space="preserve">demonstrating </w:t>
      </w:r>
      <w:r w:rsidR="004903FB" w:rsidRPr="00C43543">
        <w:rPr>
          <w:szCs w:val="28"/>
          <w14:ligatures w14:val="standardContextual"/>
        </w:rPr>
        <w:t xml:space="preserve">that the plaintiffs </w:t>
      </w:r>
      <w:r w:rsidR="00D553D8">
        <w:rPr>
          <w:szCs w:val="28"/>
          <w14:ligatures w14:val="standardContextual"/>
        </w:rPr>
        <w:t>had been</w:t>
      </w:r>
      <w:r w:rsidR="004903FB" w:rsidRPr="00C43543">
        <w:rPr>
          <w:szCs w:val="28"/>
          <w14:ligatures w14:val="standardContextual"/>
        </w:rPr>
        <w:t xml:space="preserve"> exposed to dangerous </w:t>
      </w:r>
      <w:r w:rsidR="00256B0B" w:rsidRPr="00C43543">
        <w:rPr>
          <w:szCs w:val="28"/>
          <w14:ligatures w14:val="standardContextual"/>
        </w:rPr>
        <w:t xml:space="preserve">levels of PCBs </w:t>
      </w:r>
      <w:r w:rsidR="004903FB" w:rsidRPr="00C43543">
        <w:rPr>
          <w:szCs w:val="28"/>
          <w14:ligatures w14:val="standardContextual"/>
        </w:rPr>
        <w:t xml:space="preserve">and that this exposure </w:t>
      </w:r>
      <w:r w:rsidR="00D553D8">
        <w:rPr>
          <w:szCs w:val="28"/>
          <w14:ligatures w14:val="standardContextual"/>
        </w:rPr>
        <w:t xml:space="preserve">had </w:t>
      </w:r>
      <w:r w:rsidR="004903FB" w:rsidRPr="00C43543">
        <w:rPr>
          <w:szCs w:val="28"/>
          <w14:ligatures w14:val="standardContextual"/>
        </w:rPr>
        <w:t xml:space="preserve">caused their injuries.  </w:t>
      </w:r>
    </w:p>
    <w:p w14:paraId="33064C07" w14:textId="52036D5F" w:rsidR="00AF3839" w:rsidRPr="00C43543" w:rsidRDefault="00AF3839" w:rsidP="00742279">
      <w:pPr>
        <w:pStyle w:val="BodyText"/>
        <w:rPr>
          <w:szCs w:val="28"/>
          <w14:ligatures w14:val="standardContextual"/>
        </w:rPr>
      </w:pPr>
      <w:r w:rsidRPr="00C43543">
        <w:rPr>
          <w:b/>
          <w:bCs/>
          <w:szCs w:val="28"/>
          <w14:ligatures w14:val="standardContextual"/>
        </w:rPr>
        <w:tab/>
        <w:t xml:space="preserve">V. </w:t>
      </w:r>
      <w:r w:rsidRPr="00C43543">
        <w:rPr>
          <w:b/>
          <w:bCs/>
          <w:i/>
          <w:iCs/>
          <w:szCs w:val="28"/>
          <w14:ligatures w14:val="standardContextual"/>
        </w:rPr>
        <w:t xml:space="preserve">Non-Party </w:t>
      </w:r>
      <w:r w:rsidR="00D34201" w:rsidRPr="00C43543">
        <w:rPr>
          <w:b/>
          <w:bCs/>
          <w:i/>
          <w:iCs/>
          <w:szCs w:val="28"/>
          <w14:ligatures w14:val="standardContextual"/>
        </w:rPr>
        <w:t>Evidence</w:t>
      </w:r>
      <w:r w:rsidRPr="00C43543">
        <w:rPr>
          <w:b/>
          <w:bCs/>
          <w:i/>
          <w:iCs/>
          <w:szCs w:val="28"/>
          <w14:ligatures w14:val="standardContextual"/>
        </w:rPr>
        <w:t>.</w:t>
      </w:r>
      <w:r w:rsidRPr="00C43543">
        <w:rPr>
          <w:b/>
          <w:bCs/>
          <w:szCs w:val="28"/>
          <w14:ligatures w14:val="standardContextual"/>
        </w:rPr>
        <w:t xml:space="preserve"> </w:t>
      </w:r>
      <w:r w:rsidR="0068656A" w:rsidRPr="00C43543">
        <w:rPr>
          <w:szCs w:val="28"/>
          <w14:ligatures w14:val="standardContextual"/>
        </w:rPr>
        <w:t xml:space="preserve">Monsanto next </w:t>
      </w:r>
      <w:r w:rsidR="00BF3A27" w:rsidRPr="00C43543">
        <w:rPr>
          <w:szCs w:val="28"/>
          <w14:ligatures w14:val="standardContextual"/>
        </w:rPr>
        <w:t>says</w:t>
      </w:r>
      <w:r w:rsidR="0068656A" w:rsidRPr="00C43543">
        <w:rPr>
          <w:szCs w:val="28"/>
          <w14:ligatures w14:val="standardContextual"/>
        </w:rPr>
        <w:t xml:space="preserve"> (at 159-185) that it was error to </w:t>
      </w:r>
      <w:r w:rsidR="00040FB2" w:rsidRPr="00C43543">
        <w:rPr>
          <w:szCs w:val="28"/>
          <w14:ligatures w14:val="standardContextual"/>
        </w:rPr>
        <w:t xml:space="preserve">admit </w:t>
      </w:r>
      <w:r w:rsidR="0096044A" w:rsidRPr="00C43543">
        <w:rPr>
          <w:i/>
          <w:iCs/>
          <w:szCs w:val="28"/>
          <w14:ligatures w14:val="standardContextual"/>
        </w:rPr>
        <w:t xml:space="preserve">any </w:t>
      </w:r>
      <w:r w:rsidR="0068656A" w:rsidRPr="00C43543">
        <w:rPr>
          <w:szCs w:val="28"/>
          <w14:ligatures w14:val="standardContextual"/>
        </w:rPr>
        <w:t xml:space="preserve">evidence about </w:t>
      </w:r>
      <w:r w:rsidR="00382CFE" w:rsidRPr="00C43543">
        <w:rPr>
          <w:szCs w:val="28"/>
          <w14:ligatures w14:val="standardContextual"/>
        </w:rPr>
        <w:t xml:space="preserve">other </w:t>
      </w:r>
      <w:r w:rsidR="0068656A" w:rsidRPr="00C43543">
        <w:rPr>
          <w:szCs w:val="28"/>
          <w14:ligatures w14:val="standardContextual"/>
        </w:rPr>
        <w:t xml:space="preserve">people </w:t>
      </w:r>
      <w:r w:rsidR="00BF3A27" w:rsidRPr="00C43543">
        <w:rPr>
          <w:szCs w:val="28"/>
          <w14:ligatures w14:val="standardContextual"/>
        </w:rPr>
        <w:t xml:space="preserve">who were </w:t>
      </w:r>
      <w:r w:rsidR="0068656A" w:rsidRPr="00C43543">
        <w:rPr>
          <w:szCs w:val="28"/>
          <w14:ligatures w14:val="standardContextual"/>
        </w:rPr>
        <w:t>present at the same school</w:t>
      </w:r>
      <w:r w:rsidR="008B7188" w:rsidRPr="00C43543">
        <w:rPr>
          <w:szCs w:val="28"/>
          <w14:ligatures w14:val="standardContextual"/>
        </w:rPr>
        <w:t xml:space="preserve">, </w:t>
      </w:r>
      <w:r w:rsidR="0068656A" w:rsidRPr="00C43543">
        <w:rPr>
          <w:szCs w:val="28"/>
          <w14:ligatures w14:val="standardContextual"/>
        </w:rPr>
        <w:t>at the same time, and who suffered the same type of injur</w:t>
      </w:r>
      <w:r w:rsidR="00A04B7B" w:rsidRPr="00C43543">
        <w:rPr>
          <w:szCs w:val="28"/>
          <w14:ligatures w14:val="standardContextual"/>
        </w:rPr>
        <w:t>y</w:t>
      </w:r>
      <w:r w:rsidR="00040FB2" w:rsidRPr="00C43543">
        <w:rPr>
          <w:szCs w:val="28"/>
          <w14:ligatures w14:val="standardContextual"/>
        </w:rPr>
        <w:t xml:space="preserve"> as the plaintiffs</w:t>
      </w:r>
      <w:r w:rsidR="0068656A" w:rsidRPr="00C43543">
        <w:rPr>
          <w:szCs w:val="28"/>
          <w14:ligatures w14:val="standardContextual"/>
        </w:rPr>
        <w:t>—evidence that formed the basis for expert opinions by an epidemiologist and a neuropsychologist</w:t>
      </w:r>
      <w:r w:rsidR="00A051B2" w:rsidRPr="00C43543">
        <w:rPr>
          <w:szCs w:val="28"/>
          <w14:ligatures w14:val="standardContextual"/>
        </w:rPr>
        <w:t xml:space="preserve">. </w:t>
      </w:r>
      <w:r w:rsidR="00382CFE" w:rsidRPr="00C43543">
        <w:rPr>
          <w:szCs w:val="28"/>
          <w14:ligatures w14:val="standardContextual"/>
        </w:rPr>
        <w:lastRenderedPageBreak/>
        <w:t xml:space="preserve">This evidence, </w:t>
      </w:r>
      <w:r w:rsidR="0068656A" w:rsidRPr="00C43543">
        <w:rPr>
          <w:szCs w:val="28"/>
          <w14:ligatures w14:val="standardContextual"/>
        </w:rPr>
        <w:t xml:space="preserve">Monsanto says, </w:t>
      </w:r>
      <w:r w:rsidR="00040FB2" w:rsidRPr="00C43543">
        <w:rPr>
          <w:szCs w:val="28"/>
          <w14:ligatures w14:val="standardContextual"/>
        </w:rPr>
        <w:t>wa</w:t>
      </w:r>
      <w:r w:rsidR="0068656A" w:rsidRPr="00C43543">
        <w:rPr>
          <w:szCs w:val="28"/>
          <w14:ligatures w14:val="standardContextual"/>
        </w:rPr>
        <w:t>s “irrelevant.” Th</w:t>
      </w:r>
      <w:r w:rsidR="00BF3A27" w:rsidRPr="00C43543">
        <w:rPr>
          <w:szCs w:val="28"/>
          <w14:ligatures w14:val="standardContextual"/>
        </w:rPr>
        <w:t>at</w:t>
      </w:r>
      <w:r w:rsidR="0068656A" w:rsidRPr="00C43543">
        <w:rPr>
          <w:szCs w:val="28"/>
          <w14:ligatures w14:val="standardContextual"/>
        </w:rPr>
        <w:t xml:space="preserve"> can</w:t>
      </w:r>
      <w:r w:rsidR="00040FB2" w:rsidRPr="00C43543">
        <w:rPr>
          <w:szCs w:val="28"/>
          <w14:ligatures w14:val="standardContextual"/>
        </w:rPr>
        <w:t>’</w:t>
      </w:r>
      <w:r w:rsidR="0068656A" w:rsidRPr="00C43543">
        <w:rPr>
          <w:szCs w:val="28"/>
          <w14:ligatures w14:val="standardContextual"/>
        </w:rPr>
        <w:t xml:space="preserve">t be </w:t>
      </w:r>
      <w:r w:rsidR="00382CFE" w:rsidRPr="00C43543">
        <w:rPr>
          <w:szCs w:val="28"/>
          <w14:ligatures w14:val="standardContextual"/>
        </w:rPr>
        <w:t>righ</w:t>
      </w:r>
      <w:r w:rsidR="00D34201" w:rsidRPr="00C43543">
        <w:rPr>
          <w:szCs w:val="28"/>
          <w14:ligatures w14:val="standardContextual"/>
        </w:rPr>
        <w:t>t—the argument defies common sense and the law of evidence.</w:t>
      </w:r>
      <w:r w:rsidR="0068656A" w:rsidRPr="00C43543">
        <w:rPr>
          <w:szCs w:val="28"/>
          <w14:ligatures w14:val="standardContextual"/>
        </w:rPr>
        <w:t xml:space="preserve"> If </w:t>
      </w:r>
      <w:r w:rsidRPr="00C43543">
        <w:rPr>
          <w:szCs w:val="28"/>
          <w14:ligatures w14:val="standardContextual"/>
        </w:rPr>
        <w:t>the plaintiffs were the only people</w:t>
      </w:r>
      <w:r w:rsidR="00CE68E9" w:rsidRPr="00C43543">
        <w:rPr>
          <w:szCs w:val="28"/>
          <w14:ligatures w14:val="standardContextual"/>
        </w:rPr>
        <w:t xml:space="preserve"> in the school</w:t>
      </w:r>
      <w:r w:rsidR="00D34201" w:rsidRPr="00C43543">
        <w:rPr>
          <w:szCs w:val="28"/>
          <w14:ligatures w14:val="standardContextual"/>
        </w:rPr>
        <w:t xml:space="preserve"> with </w:t>
      </w:r>
      <w:r w:rsidRPr="00C43543">
        <w:rPr>
          <w:szCs w:val="28"/>
          <w14:ligatures w14:val="standardContextual"/>
        </w:rPr>
        <w:t>inju</w:t>
      </w:r>
      <w:r w:rsidR="00382CFE" w:rsidRPr="00C43543">
        <w:rPr>
          <w:szCs w:val="28"/>
          <w14:ligatures w14:val="standardContextual"/>
        </w:rPr>
        <w:t>ries</w:t>
      </w:r>
      <w:r w:rsidRPr="00C43543">
        <w:rPr>
          <w:szCs w:val="28"/>
          <w14:ligatures w14:val="standardContextual"/>
        </w:rPr>
        <w:t xml:space="preserve">, </w:t>
      </w:r>
      <w:r w:rsidR="00382CFE" w:rsidRPr="00C43543">
        <w:rPr>
          <w:szCs w:val="28"/>
          <w14:ligatures w14:val="standardContextual"/>
        </w:rPr>
        <w:t xml:space="preserve">surely </w:t>
      </w:r>
      <w:r w:rsidRPr="00C43543">
        <w:rPr>
          <w:szCs w:val="28"/>
          <w14:ligatures w14:val="standardContextual"/>
        </w:rPr>
        <w:t xml:space="preserve">Monsanto </w:t>
      </w:r>
      <w:r w:rsidR="00CE68E9" w:rsidRPr="00C43543">
        <w:rPr>
          <w:szCs w:val="28"/>
          <w14:ligatures w14:val="standardContextual"/>
        </w:rPr>
        <w:t xml:space="preserve">would </w:t>
      </w:r>
      <w:r w:rsidR="00040FB2" w:rsidRPr="00C43543">
        <w:rPr>
          <w:szCs w:val="28"/>
          <w14:ligatures w14:val="standardContextual"/>
        </w:rPr>
        <w:t>seize on th</w:t>
      </w:r>
      <w:r w:rsidR="00A04B7B" w:rsidRPr="00C43543">
        <w:rPr>
          <w:szCs w:val="28"/>
          <w14:ligatures w14:val="standardContextual"/>
        </w:rPr>
        <w:t>at</w:t>
      </w:r>
      <w:r w:rsidR="00CE68E9" w:rsidRPr="00C43543">
        <w:rPr>
          <w:szCs w:val="28"/>
          <w14:ligatures w14:val="standardContextual"/>
        </w:rPr>
        <w:t xml:space="preserve"> as evidence </w:t>
      </w:r>
      <w:r w:rsidR="00CE68E9" w:rsidRPr="00C43543">
        <w:rPr>
          <w:i/>
          <w:iCs/>
          <w:szCs w:val="28"/>
          <w14:ligatures w14:val="standardContextual"/>
        </w:rPr>
        <w:t xml:space="preserve">against </w:t>
      </w:r>
      <w:r w:rsidR="00CE68E9" w:rsidRPr="00C43543">
        <w:rPr>
          <w:szCs w:val="28"/>
          <w14:ligatures w14:val="standardContextual"/>
        </w:rPr>
        <w:t>the</w:t>
      </w:r>
      <w:r w:rsidR="00D34201" w:rsidRPr="00C43543">
        <w:rPr>
          <w:szCs w:val="28"/>
          <w14:ligatures w14:val="standardContextual"/>
        </w:rPr>
        <w:t>m</w:t>
      </w:r>
      <w:r w:rsidR="00CE68E9" w:rsidRPr="00C43543">
        <w:rPr>
          <w:szCs w:val="28"/>
          <w14:ligatures w14:val="standardContextual"/>
        </w:rPr>
        <w:t>.</w:t>
      </w:r>
      <w:r w:rsidR="00D34201" w:rsidRPr="00C43543">
        <w:rPr>
          <w:szCs w:val="28"/>
          <w14:ligatures w14:val="standardContextual"/>
        </w:rPr>
        <w:t xml:space="preserve"> </w:t>
      </w:r>
    </w:p>
    <w:p w14:paraId="55432F9B" w14:textId="14CA027B" w:rsidR="00D34201" w:rsidRPr="00C43543" w:rsidRDefault="00AF3839" w:rsidP="00742279">
      <w:pPr>
        <w:pStyle w:val="BodyText"/>
        <w:rPr>
          <w:szCs w:val="28"/>
          <w14:ligatures w14:val="standardContextual"/>
        </w:rPr>
      </w:pPr>
      <w:r w:rsidRPr="00C43543">
        <w:rPr>
          <w:b/>
          <w:bCs/>
          <w:szCs w:val="28"/>
          <w14:ligatures w14:val="standardContextual"/>
        </w:rPr>
        <w:tab/>
        <w:t xml:space="preserve">VI. </w:t>
      </w:r>
      <w:r w:rsidRPr="00C43543">
        <w:rPr>
          <w:b/>
          <w:bCs/>
          <w:i/>
          <w:iCs/>
          <w:szCs w:val="28"/>
          <w14:ligatures w14:val="standardContextual"/>
        </w:rPr>
        <w:t>Pun</w:t>
      </w:r>
      <w:r w:rsidR="00CE68E9" w:rsidRPr="00C43543">
        <w:rPr>
          <w:b/>
          <w:bCs/>
          <w:i/>
          <w:iCs/>
          <w:szCs w:val="28"/>
          <w14:ligatures w14:val="standardContextual"/>
        </w:rPr>
        <w:t>itive</w:t>
      </w:r>
      <w:r w:rsidR="00FB0043" w:rsidRPr="00C43543">
        <w:rPr>
          <w:b/>
          <w:bCs/>
          <w:i/>
          <w:iCs/>
          <w:szCs w:val="28"/>
          <w14:ligatures w14:val="standardContextual"/>
        </w:rPr>
        <w:t xml:space="preserve"> Damages</w:t>
      </w:r>
      <w:r w:rsidR="00CE68E9" w:rsidRPr="00C43543">
        <w:rPr>
          <w:b/>
          <w:bCs/>
          <w:i/>
          <w:iCs/>
          <w:szCs w:val="28"/>
          <w14:ligatures w14:val="standardContextual"/>
        </w:rPr>
        <w:t>.</w:t>
      </w:r>
      <w:r w:rsidR="00CE68E9" w:rsidRPr="00C43543">
        <w:rPr>
          <w:b/>
          <w:bCs/>
          <w:szCs w:val="28"/>
          <w14:ligatures w14:val="standardContextual"/>
        </w:rPr>
        <w:t xml:space="preserve"> </w:t>
      </w:r>
      <w:r w:rsidR="00FB0043" w:rsidRPr="00C43543">
        <w:rPr>
          <w:szCs w:val="28"/>
          <w14:ligatures w14:val="standardContextual"/>
        </w:rPr>
        <w:t xml:space="preserve">Monsanto’s final complaint </w:t>
      </w:r>
      <w:r w:rsidR="00A4279C" w:rsidRPr="00C43543">
        <w:rPr>
          <w:szCs w:val="28"/>
          <w14:ligatures w14:val="standardContextual"/>
        </w:rPr>
        <w:t xml:space="preserve">(at 185-244) </w:t>
      </w:r>
      <w:r w:rsidR="00FB0043" w:rsidRPr="00C43543">
        <w:rPr>
          <w:szCs w:val="28"/>
          <w14:ligatures w14:val="standardContextual"/>
        </w:rPr>
        <w:t xml:space="preserve">is that </w:t>
      </w:r>
      <w:r w:rsidR="00D34201" w:rsidRPr="00C43543">
        <w:rPr>
          <w:szCs w:val="28"/>
          <w14:ligatures w14:val="standardContextual"/>
        </w:rPr>
        <w:t xml:space="preserve">the </w:t>
      </w:r>
      <w:r w:rsidR="00FB0043" w:rsidRPr="00C43543">
        <w:rPr>
          <w:szCs w:val="28"/>
          <w14:ligatures w14:val="standardContextual"/>
        </w:rPr>
        <w:t>punitive</w:t>
      </w:r>
      <w:r w:rsidR="00D34201" w:rsidRPr="00C43543">
        <w:rPr>
          <w:szCs w:val="28"/>
          <w14:ligatures w14:val="standardContextual"/>
        </w:rPr>
        <w:t xml:space="preserve"> </w:t>
      </w:r>
      <w:r w:rsidR="00FB0043" w:rsidRPr="00C43543">
        <w:rPr>
          <w:szCs w:val="28"/>
          <w14:ligatures w14:val="standardContextual"/>
        </w:rPr>
        <w:t xml:space="preserve">damages </w:t>
      </w:r>
      <w:r w:rsidR="00D34201" w:rsidRPr="00C43543">
        <w:rPr>
          <w:szCs w:val="28"/>
          <w14:ligatures w14:val="standardContextual"/>
        </w:rPr>
        <w:t>rest on in</w:t>
      </w:r>
      <w:r w:rsidR="0022617B" w:rsidRPr="00C43543">
        <w:rPr>
          <w:szCs w:val="28"/>
          <w14:ligatures w14:val="standardContextual"/>
        </w:rPr>
        <w:t xml:space="preserve">sufficient </w:t>
      </w:r>
      <w:r w:rsidR="00FB0043" w:rsidRPr="00C43543">
        <w:rPr>
          <w:szCs w:val="28"/>
          <w14:ligatures w14:val="standardContextual"/>
        </w:rPr>
        <w:t>evidence and</w:t>
      </w:r>
      <w:r w:rsidR="0022617B" w:rsidRPr="00C43543">
        <w:rPr>
          <w:szCs w:val="28"/>
          <w14:ligatures w14:val="standardContextual"/>
        </w:rPr>
        <w:t xml:space="preserve"> violate</w:t>
      </w:r>
      <w:r w:rsidR="00FB0043" w:rsidRPr="00C43543">
        <w:rPr>
          <w:szCs w:val="28"/>
          <w14:ligatures w14:val="standardContextual"/>
        </w:rPr>
        <w:t xml:space="preserve"> due process. But the jury</w:t>
      </w:r>
      <w:r w:rsidR="00D34201" w:rsidRPr="00C43543">
        <w:rPr>
          <w:szCs w:val="28"/>
          <w14:ligatures w14:val="standardContextual"/>
        </w:rPr>
        <w:t xml:space="preserve"> had</w:t>
      </w:r>
      <w:r w:rsidR="00256B0B" w:rsidRPr="00C43543">
        <w:rPr>
          <w:szCs w:val="28"/>
          <w14:ligatures w14:val="standardContextual"/>
        </w:rPr>
        <w:t xml:space="preserve"> abundant </w:t>
      </w:r>
      <w:r w:rsidR="00FB0043" w:rsidRPr="00C43543">
        <w:rPr>
          <w:szCs w:val="28"/>
          <w14:ligatures w14:val="standardContextual"/>
        </w:rPr>
        <w:t>evidence of Monsanto’s</w:t>
      </w:r>
      <w:r w:rsidR="00D34201" w:rsidRPr="00C43543">
        <w:rPr>
          <w:szCs w:val="28"/>
          <w14:ligatures w14:val="standardContextual"/>
        </w:rPr>
        <w:t xml:space="preserve"> </w:t>
      </w:r>
      <w:r w:rsidR="00FB0043" w:rsidRPr="00C43543">
        <w:rPr>
          <w:szCs w:val="28"/>
          <w14:ligatures w14:val="standardContextual"/>
        </w:rPr>
        <w:t>disregard for</w:t>
      </w:r>
      <w:r w:rsidR="00D34201" w:rsidRPr="00C43543">
        <w:rPr>
          <w:szCs w:val="28"/>
          <w14:ligatures w14:val="standardContextual"/>
        </w:rPr>
        <w:t xml:space="preserve"> human </w:t>
      </w:r>
      <w:r w:rsidR="00FB0043" w:rsidRPr="00C43543">
        <w:rPr>
          <w:szCs w:val="28"/>
          <w14:ligatures w14:val="standardContextual"/>
        </w:rPr>
        <w:t>health</w:t>
      </w:r>
      <w:r w:rsidR="00CF0B4A" w:rsidRPr="00C43543">
        <w:rPr>
          <w:szCs w:val="28"/>
          <w14:ligatures w14:val="standardContextual"/>
        </w:rPr>
        <w:t>. I</w:t>
      </w:r>
      <w:r w:rsidR="00D34201" w:rsidRPr="00C43543">
        <w:rPr>
          <w:szCs w:val="28"/>
          <w14:ligatures w14:val="standardContextual"/>
        </w:rPr>
        <w:t>ts</w:t>
      </w:r>
      <w:r w:rsidR="00FB0043" w:rsidRPr="00C43543">
        <w:rPr>
          <w:szCs w:val="28"/>
          <w14:ligatures w14:val="standardContextual"/>
        </w:rPr>
        <w:t xml:space="preserve"> </w:t>
      </w:r>
      <w:r w:rsidR="00A4279C" w:rsidRPr="00C43543">
        <w:rPr>
          <w:szCs w:val="28"/>
          <w14:ligatures w14:val="standardContextual"/>
        </w:rPr>
        <w:t xml:space="preserve">diabolical </w:t>
      </w:r>
      <w:r w:rsidR="00741447" w:rsidRPr="00C43543">
        <w:rPr>
          <w:szCs w:val="28"/>
          <w14:ligatures w14:val="standardContextual"/>
        </w:rPr>
        <w:t>corporate behavior</w:t>
      </w:r>
      <w:r w:rsidR="00FB0043" w:rsidRPr="00C43543">
        <w:rPr>
          <w:szCs w:val="28"/>
          <w14:ligatures w14:val="standardContextual"/>
        </w:rPr>
        <w:t>—</w:t>
      </w:r>
      <w:r w:rsidR="00ED2BB1" w:rsidRPr="00C43543">
        <w:rPr>
          <w:szCs w:val="28"/>
          <w14:ligatures w14:val="standardContextual"/>
        </w:rPr>
        <w:t>knowing for decades of PCBs’ toxicity and going to great lengths to hide it</w:t>
      </w:r>
      <w:r w:rsidR="00FB0043" w:rsidRPr="00C43543">
        <w:rPr>
          <w:szCs w:val="28"/>
          <w14:ligatures w14:val="standardContextual"/>
        </w:rPr>
        <w:t>—is a textbook case for punitive damages</w:t>
      </w:r>
      <w:r w:rsidR="009E7167" w:rsidRPr="00C43543">
        <w:rPr>
          <w:szCs w:val="28"/>
          <w14:ligatures w14:val="standardContextual"/>
        </w:rPr>
        <w:t>. A</w:t>
      </w:r>
      <w:r w:rsidR="00D34201" w:rsidRPr="00C43543">
        <w:rPr>
          <w:szCs w:val="28"/>
          <w14:ligatures w14:val="standardContextual"/>
        </w:rPr>
        <w:t>n</w:t>
      </w:r>
      <w:r w:rsidR="009E7167" w:rsidRPr="00C43543">
        <w:rPr>
          <w:szCs w:val="28"/>
          <w14:ligatures w14:val="standardContextual"/>
        </w:rPr>
        <w:t xml:space="preserve"> award</w:t>
      </w:r>
      <w:r w:rsidR="00E4448A" w:rsidRPr="00C43543">
        <w:rPr>
          <w:szCs w:val="28"/>
          <w14:ligatures w14:val="standardContextual"/>
        </w:rPr>
        <w:t xml:space="preserve"> violates</w:t>
      </w:r>
      <w:r w:rsidR="00A051B2" w:rsidRPr="00C43543">
        <w:rPr>
          <w:szCs w:val="28"/>
          <w14:ligatures w14:val="standardContextual"/>
        </w:rPr>
        <w:t xml:space="preserve"> </w:t>
      </w:r>
      <w:r w:rsidR="00256B0B" w:rsidRPr="00C43543">
        <w:rPr>
          <w:szCs w:val="28"/>
          <w14:ligatures w14:val="standardContextual"/>
        </w:rPr>
        <w:t xml:space="preserve">due process </w:t>
      </w:r>
      <w:r w:rsidR="00CF0B4A" w:rsidRPr="00C43543">
        <w:rPr>
          <w:szCs w:val="28"/>
          <w14:ligatures w14:val="standardContextual"/>
        </w:rPr>
        <w:t xml:space="preserve">only when it is </w:t>
      </w:r>
      <w:r w:rsidR="009E7167" w:rsidRPr="00C43543">
        <w:rPr>
          <w:szCs w:val="28"/>
          <w14:ligatures w14:val="standardContextual"/>
        </w:rPr>
        <w:t>“</w:t>
      </w:r>
      <w:r w:rsidR="00FB0043" w:rsidRPr="00C43543">
        <w:rPr>
          <w:szCs w:val="28"/>
          <w14:ligatures w14:val="standardContextual"/>
        </w:rPr>
        <w:t xml:space="preserve">grossly excessive,” </w:t>
      </w:r>
      <w:r w:rsidR="00DD7B52" w:rsidRPr="00C43543">
        <w:rPr>
          <w:i/>
          <w:iCs/>
          <w:szCs w:val="28"/>
          <w14:ligatures w14:val="standardContextual"/>
        </w:rPr>
        <w:fldChar w:fldCharType="begin"/>
      </w:r>
      <w:r w:rsidR="00DD7B52" w:rsidRPr="00C43543">
        <w:rPr>
          <w:szCs w:val="28"/>
          <w14:ligatures w14:val="standardContextual"/>
        </w:rPr>
        <w:instrText xml:space="preserve"> TA \l "</w:instrText>
      </w:r>
      <w:r w:rsidR="00DD7B52" w:rsidRPr="00C43543">
        <w:rPr>
          <w:i/>
          <w:iCs/>
          <w:szCs w:val="28"/>
          <w14:ligatures w14:val="standardContextual"/>
        </w:rPr>
        <w:instrText>BMW of North America, Inc. v. Gore</w:instrText>
      </w:r>
      <w:r w:rsidR="00DD7B52" w:rsidRPr="00C43543">
        <w:rPr>
          <w:szCs w:val="28"/>
          <w14:ligatures w14:val="standardContextual"/>
        </w:rPr>
        <w:instrText>,</w:instrText>
      </w:r>
      <w:r w:rsidR="00DD7B52" w:rsidRPr="00C43543">
        <w:rPr>
          <w:szCs w:val="28"/>
          <w14:ligatures w14:val="standardContextual"/>
        </w:rPr>
        <w:br/>
        <w:instrText xml:space="preserve">517 U.S. 559 (1996)" \s "BMW v. Gore, 517 U.S. 559" \c 1 </w:instrText>
      </w:r>
      <w:r w:rsidR="00DD7B52" w:rsidRPr="00C43543">
        <w:rPr>
          <w:i/>
          <w:iCs/>
          <w:szCs w:val="28"/>
          <w14:ligatures w14:val="standardContextual"/>
        </w:rPr>
        <w:fldChar w:fldCharType="end"/>
      </w:r>
      <w:r w:rsidR="00FB0043" w:rsidRPr="00C43543">
        <w:rPr>
          <w:i/>
          <w:iCs/>
          <w:szCs w:val="28"/>
          <w14:ligatures w14:val="standardContextual"/>
        </w:rPr>
        <w:t>BMW of N. Am., Inc. v. Gore</w:t>
      </w:r>
      <w:r w:rsidR="00FB0043" w:rsidRPr="00C43543">
        <w:rPr>
          <w:szCs w:val="28"/>
          <w14:ligatures w14:val="standardContextual"/>
        </w:rPr>
        <w:t>, 517 U.S. 559, 582 (1996)</w:t>
      </w:r>
      <w:r w:rsidR="00256B0B" w:rsidRPr="00C43543">
        <w:rPr>
          <w:szCs w:val="28"/>
          <w14:ligatures w14:val="standardContextual"/>
        </w:rPr>
        <w:t xml:space="preserve">, </w:t>
      </w:r>
      <w:r w:rsidR="00CF0B4A" w:rsidRPr="00C43543">
        <w:rPr>
          <w:szCs w:val="28"/>
          <w14:ligatures w14:val="standardContextual"/>
        </w:rPr>
        <w:t>such that it</w:t>
      </w:r>
      <w:r w:rsidR="00FB0043" w:rsidRPr="00C43543">
        <w:rPr>
          <w:szCs w:val="28"/>
          <w14:ligatures w14:val="standardContextual"/>
        </w:rPr>
        <w:t xml:space="preserve"> “constitutes an arbitrary deprivation of property,” </w:t>
      </w:r>
      <w:r w:rsidR="00DD7B52" w:rsidRPr="00C43543">
        <w:rPr>
          <w:i/>
          <w:iCs/>
          <w:szCs w:val="28"/>
          <w14:ligatures w14:val="standardContextual"/>
        </w:rPr>
        <w:fldChar w:fldCharType="begin"/>
      </w:r>
      <w:r w:rsidR="00DD7B52" w:rsidRPr="00C43543">
        <w:rPr>
          <w:szCs w:val="28"/>
          <w14:ligatures w14:val="standardContextual"/>
        </w:rPr>
        <w:instrText xml:space="preserve"> TA \l "</w:instrText>
      </w:r>
      <w:r w:rsidR="00DD7B52" w:rsidRPr="00C43543">
        <w:rPr>
          <w:i/>
          <w:iCs/>
          <w:szCs w:val="28"/>
          <w14:ligatures w14:val="standardContextual"/>
        </w:rPr>
        <w:instrText>State Farm Mutual Automobile Insurance Co. v. Campbell</w:instrText>
      </w:r>
      <w:r w:rsidR="00DD7B52" w:rsidRPr="00C43543">
        <w:rPr>
          <w:szCs w:val="28"/>
          <w14:ligatures w14:val="standardContextual"/>
        </w:rPr>
        <w:instrText>,</w:instrText>
      </w:r>
      <w:r w:rsidR="00DD7B52" w:rsidRPr="00C43543">
        <w:rPr>
          <w:szCs w:val="28"/>
          <w14:ligatures w14:val="standardContextual"/>
        </w:rPr>
        <w:br/>
        <w:instrText xml:space="preserve">538 U.S. 408 (2003)" \s "State Farm v. Campbell, 538 U.S. 408" \c 1 </w:instrText>
      </w:r>
      <w:r w:rsidR="00DD7B52" w:rsidRPr="00C43543">
        <w:rPr>
          <w:i/>
          <w:iCs/>
          <w:szCs w:val="28"/>
          <w14:ligatures w14:val="standardContextual"/>
        </w:rPr>
        <w:fldChar w:fldCharType="end"/>
      </w:r>
      <w:r w:rsidR="00FB0043" w:rsidRPr="00C43543">
        <w:rPr>
          <w:i/>
          <w:iCs/>
          <w:szCs w:val="28"/>
          <w14:ligatures w14:val="standardContextual"/>
        </w:rPr>
        <w:t xml:space="preserve">State Farm Mut. </w:t>
      </w:r>
      <w:proofErr w:type="spellStart"/>
      <w:r w:rsidR="00FB0043" w:rsidRPr="00C43543">
        <w:rPr>
          <w:i/>
          <w:iCs/>
          <w:szCs w:val="28"/>
          <w14:ligatures w14:val="standardContextual"/>
        </w:rPr>
        <w:t>Aut</w:t>
      </w:r>
      <w:proofErr w:type="spellEnd"/>
      <w:r w:rsidR="00FB0043" w:rsidRPr="00C43543">
        <w:rPr>
          <w:i/>
          <w:iCs/>
          <w:szCs w:val="28"/>
          <w14:ligatures w14:val="standardContextual"/>
        </w:rPr>
        <w:t>. Ins. v. Campbell</w:t>
      </w:r>
      <w:r w:rsidR="00FB0043" w:rsidRPr="00C43543">
        <w:rPr>
          <w:szCs w:val="28"/>
          <w14:ligatures w14:val="standardContextual"/>
        </w:rPr>
        <w:t>, 538 U.S. 408, 417 (2003)</w:t>
      </w:r>
      <w:r w:rsidR="00A4279C" w:rsidRPr="00C43543">
        <w:rPr>
          <w:szCs w:val="28"/>
          <w14:ligatures w14:val="standardContextual"/>
        </w:rPr>
        <w:t>. T</w:t>
      </w:r>
      <w:r w:rsidR="00FB0043" w:rsidRPr="00C43543">
        <w:rPr>
          <w:szCs w:val="28"/>
          <w14:ligatures w14:val="standardContextual"/>
        </w:rPr>
        <w:t>hat</w:t>
      </w:r>
      <w:r w:rsidR="00BF3A27" w:rsidRPr="00C43543">
        <w:rPr>
          <w:szCs w:val="28"/>
          <w14:ligatures w14:val="standardContextual"/>
        </w:rPr>
        <w:t xml:space="preserve"> </w:t>
      </w:r>
      <w:r w:rsidR="00CF0B4A" w:rsidRPr="00C43543">
        <w:rPr>
          <w:szCs w:val="28"/>
          <w14:ligatures w14:val="standardContextual"/>
        </w:rPr>
        <w:t>may be true of</w:t>
      </w:r>
      <w:r w:rsidR="00FB0043" w:rsidRPr="00C43543">
        <w:rPr>
          <w:szCs w:val="28"/>
          <w14:ligatures w14:val="standardContextual"/>
        </w:rPr>
        <w:t xml:space="preserve"> </w:t>
      </w:r>
      <w:r w:rsidR="00D34201" w:rsidRPr="00C43543">
        <w:rPr>
          <w:szCs w:val="28"/>
          <w14:ligatures w14:val="standardContextual"/>
        </w:rPr>
        <w:t xml:space="preserve">trivial cases </w:t>
      </w:r>
      <w:r w:rsidR="00A051B2" w:rsidRPr="00C43543">
        <w:rPr>
          <w:szCs w:val="28"/>
          <w14:ligatures w14:val="standardContextual"/>
        </w:rPr>
        <w:t>with</w:t>
      </w:r>
      <w:r w:rsidR="00FB0043" w:rsidRPr="00C43543">
        <w:rPr>
          <w:szCs w:val="28"/>
          <w14:ligatures w14:val="standardContextual"/>
        </w:rPr>
        <w:t xml:space="preserve"> 145</w:t>
      </w:r>
      <w:r w:rsidR="00D34201" w:rsidRPr="00C43543">
        <w:rPr>
          <w:szCs w:val="28"/>
          <w14:ligatures w14:val="standardContextual"/>
        </w:rPr>
        <w:t>:1</w:t>
      </w:r>
      <w:r w:rsidR="00FB0043" w:rsidRPr="00C43543">
        <w:rPr>
          <w:szCs w:val="28"/>
          <w14:ligatures w14:val="standardContextual"/>
        </w:rPr>
        <w:t xml:space="preserve"> </w:t>
      </w:r>
      <w:r w:rsidR="008E5116" w:rsidRPr="00C43543">
        <w:rPr>
          <w:szCs w:val="28"/>
          <w14:ligatures w14:val="standardContextual"/>
        </w:rPr>
        <w:t>or</w:t>
      </w:r>
      <w:r w:rsidR="00FB0043" w:rsidRPr="00C43543">
        <w:rPr>
          <w:szCs w:val="28"/>
          <w14:ligatures w14:val="standardContextual"/>
        </w:rPr>
        <w:t xml:space="preserve"> 500</w:t>
      </w:r>
      <w:r w:rsidR="00D34201" w:rsidRPr="00C43543">
        <w:rPr>
          <w:szCs w:val="28"/>
          <w14:ligatures w14:val="standardContextual"/>
        </w:rPr>
        <w:t xml:space="preserve">:1 </w:t>
      </w:r>
      <w:proofErr w:type="gramStart"/>
      <w:r w:rsidR="00D34201" w:rsidRPr="00C43543">
        <w:rPr>
          <w:szCs w:val="28"/>
          <w14:ligatures w14:val="standardContextual"/>
        </w:rPr>
        <w:t>ratios</w:t>
      </w:r>
      <w:proofErr w:type="gramEnd"/>
      <w:r w:rsidR="00A4279C" w:rsidRPr="00C43543">
        <w:rPr>
          <w:szCs w:val="28"/>
          <w14:ligatures w14:val="standardContextual"/>
        </w:rPr>
        <w:t>—</w:t>
      </w:r>
      <w:r w:rsidR="00CF0B4A" w:rsidRPr="00C43543">
        <w:rPr>
          <w:szCs w:val="28"/>
          <w14:ligatures w14:val="standardContextual"/>
        </w:rPr>
        <w:t xml:space="preserve">but </w:t>
      </w:r>
      <w:r w:rsidR="00A4279C" w:rsidRPr="00C43543">
        <w:rPr>
          <w:szCs w:val="28"/>
          <w14:ligatures w14:val="standardContextual"/>
        </w:rPr>
        <w:t>not</w:t>
      </w:r>
      <w:r w:rsidR="00D34201" w:rsidRPr="00C43543">
        <w:rPr>
          <w:szCs w:val="28"/>
          <w14:ligatures w14:val="standardContextual"/>
        </w:rPr>
        <w:t xml:space="preserve"> </w:t>
      </w:r>
      <w:r w:rsidR="00CF0B4A" w:rsidRPr="00C43543">
        <w:rPr>
          <w:szCs w:val="28"/>
          <w14:ligatures w14:val="standardContextual"/>
        </w:rPr>
        <w:t xml:space="preserve">of </w:t>
      </w:r>
      <w:r w:rsidR="00FB0043" w:rsidRPr="00C43543">
        <w:rPr>
          <w:szCs w:val="28"/>
          <w14:ligatures w14:val="standardContextual"/>
        </w:rPr>
        <w:t>cases like thi</w:t>
      </w:r>
      <w:r w:rsidR="00E4448A" w:rsidRPr="00C43543">
        <w:rPr>
          <w:szCs w:val="28"/>
          <w14:ligatures w14:val="standardContextual"/>
        </w:rPr>
        <w:t xml:space="preserve">s, </w:t>
      </w:r>
      <w:r w:rsidR="0096044A" w:rsidRPr="00C43543">
        <w:rPr>
          <w:szCs w:val="28"/>
          <w14:ligatures w14:val="standardContextual"/>
        </w:rPr>
        <w:t xml:space="preserve">with </w:t>
      </w:r>
      <w:r w:rsidR="00256B0B" w:rsidRPr="00C43543">
        <w:rPr>
          <w:szCs w:val="28"/>
          <w14:ligatures w14:val="standardContextual"/>
        </w:rPr>
        <w:t xml:space="preserve">truly </w:t>
      </w:r>
      <w:r w:rsidR="0096044A" w:rsidRPr="00C43543">
        <w:rPr>
          <w:szCs w:val="28"/>
          <w14:ligatures w14:val="standardContextual"/>
        </w:rPr>
        <w:t>reprehensible conduct and a</w:t>
      </w:r>
      <w:r w:rsidR="00D34201" w:rsidRPr="00C43543">
        <w:rPr>
          <w:szCs w:val="28"/>
          <w14:ligatures w14:val="standardContextual"/>
        </w:rPr>
        <w:t xml:space="preserve"> 3:1</w:t>
      </w:r>
      <w:r w:rsidR="00256B0B" w:rsidRPr="00C43543">
        <w:rPr>
          <w:szCs w:val="28"/>
          <w14:ligatures w14:val="standardContextual"/>
        </w:rPr>
        <w:t xml:space="preserve"> ratio</w:t>
      </w:r>
      <w:r w:rsidR="00FB0043" w:rsidRPr="00C43543">
        <w:rPr>
          <w:szCs w:val="28"/>
          <w14:ligatures w14:val="standardContextual"/>
        </w:rPr>
        <w:t>.</w:t>
      </w:r>
      <w:r w:rsidR="00A051B2" w:rsidRPr="00C43543">
        <w:rPr>
          <w:szCs w:val="28"/>
          <w14:ligatures w14:val="standardContextual"/>
        </w:rPr>
        <w:t xml:space="preserve"> </w:t>
      </w:r>
      <w:r w:rsidR="00D34201" w:rsidRPr="00C43543">
        <w:rPr>
          <w:szCs w:val="28"/>
          <w14:ligatures w14:val="standardContextual"/>
        </w:rPr>
        <w:t>The jury’s verdict</w:t>
      </w:r>
      <w:r w:rsidR="00CF0B4A" w:rsidRPr="00C43543">
        <w:rPr>
          <w:szCs w:val="28"/>
          <w14:ligatures w14:val="standardContextual"/>
        </w:rPr>
        <w:t>, in short,</w:t>
      </w:r>
      <w:r w:rsidR="00D34201" w:rsidRPr="00C43543">
        <w:rPr>
          <w:szCs w:val="28"/>
          <w14:ligatures w14:val="standardContextual"/>
        </w:rPr>
        <w:t xml:space="preserve"> did not </w:t>
      </w:r>
      <w:r w:rsidR="00ED2BB1" w:rsidRPr="00C43543">
        <w:rPr>
          <w:szCs w:val="28"/>
          <w14:ligatures w14:val="standardContextual"/>
        </w:rPr>
        <w:t xml:space="preserve">offend </w:t>
      </w:r>
      <w:r w:rsidR="00D34201" w:rsidRPr="00C43543">
        <w:rPr>
          <w:szCs w:val="28"/>
          <w14:ligatures w14:val="standardContextual"/>
        </w:rPr>
        <w:t>Monsanto’s constitutional rights.</w:t>
      </w:r>
    </w:p>
    <w:p w14:paraId="5A881770" w14:textId="6214DBDA" w:rsidR="00CB1299" w:rsidRPr="00C43543" w:rsidRDefault="00AF3839" w:rsidP="00742279">
      <w:pPr>
        <w:pStyle w:val="BodyText"/>
        <w:rPr>
          <w:szCs w:val="28"/>
          <w14:ligatures w14:val="standardContextual"/>
        </w:rPr>
      </w:pPr>
      <w:r w:rsidRPr="00C43543">
        <w:rPr>
          <w:szCs w:val="28"/>
          <w14:ligatures w14:val="standardContextual"/>
        </w:rPr>
        <w:t>At every step, Monsanto’s complaints are foreclosed</w:t>
      </w:r>
      <w:r w:rsidR="00256B0B" w:rsidRPr="00C43543">
        <w:rPr>
          <w:szCs w:val="28"/>
          <w14:ligatures w14:val="standardContextual"/>
        </w:rPr>
        <w:t>—</w:t>
      </w:r>
      <w:r w:rsidRPr="00C43543">
        <w:rPr>
          <w:szCs w:val="28"/>
          <w14:ligatures w14:val="standardContextual"/>
        </w:rPr>
        <w:t xml:space="preserve">by precedent, </w:t>
      </w:r>
      <w:r w:rsidR="00256B0B" w:rsidRPr="00C43543">
        <w:rPr>
          <w:szCs w:val="28"/>
          <w14:ligatures w14:val="standardContextual"/>
        </w:rPr>
        <w:t xml:space="preserve">by </w:t>
      </w:r>
      <w:r w:rsidRPr="00C43543">
        <w:rPr>
          <w:szCs w:val="28"/>
          <w14:ligatures w14:val="standardContextual"/>
        </w:rPr>
        <w:t xml:space="preserve">the standard of review, </w:t>
      </w:r>
      <w:r w:rsidR="00256B0B" w:rsidRPr="00C43543">
        <w:rPr>
          <w:szCs w:val="28"/>
          <w14:ligatures w14:val="standardContextual"/>
        </w:rPr>
        <w:t xml:space="preserve">by </w:t>
      </w:r>
      <w:r w:rsidRPr="00C43543">
        <w:rPr>
          <w:szCs w:val="28"/>
          <w14:ligatures w14:val="standardContextual"/>
        </w:rPr>
        <w:t xml:space="preserve">the record at trial, </w:t>
      </w:r>
      <w:r w:rsidR="00256B0B" w:rsidRPr="00C43543">
        <w:rPr>
          <w:szCs w:val="28"/>
          <w14:ligatures w14:val="standardContextual"/>
        </w:rPr>
        <w:t>or</w:t>
      </w:r>
      <w:r w:rsidR="00CB1299" w:rsidRPr="00C43543">
        <w:rPr>
          <w:szCs w:val="28"/>
          <w14:ligatures w14:val="standardContextual"/>
        </w:rPr>
        <w:t xml:space="preserve"> by</w:t>
      </w:r>
      <w:r w:rsidRPr="00C43543">
        <w:rPr>
          <w:szCs w:val="28"/>
          <w14:ligatures w14:val="standardContextual"/>
        </w:rPr>
        <w:t xml:space="preserve"> all three. This Court should affirm the jury’s verdict. </w:t>
      </w:r>
    </w:p>
    <w:p w14:paraId="656B6D04" w14:textId="77777777" w:rsidR="002F3A5F" w:rsidRPr="00C43543" w:rsidRDefault="002F3A5F" w:rsidP="00A45FF2">
      <w:pPr>
        <w:ind w:firstLine="630"/>
        <w:jc w:val="both"/>
        <w:rPr>
          <w:szCs w:val="28"/>
          <w14:ligatures w14:val="standardContextual"/>
        </w:rPr>
      </w:pPr>
    </w:p>
    <w:p w14:paraId="7DCB249E" w14:textId="77777777" w:rsidR="0015778B" w:rsidRPr="00C43543" w:rsidRDefault="0015778B" w:rsidP="0015778B">
      <w:pPr>
        <w:ind w:firstLine="630"/>
        <w:jc w:val="both"/>
        <w:rPr>
          <w:szCs w:val="28"/>
          <w14:ligatures w14:val="standardContextual"/>
        </w:rPr>
      </w:pPr>
      <w:bookmarkStart w:id="19" w:name="_Toc105595234"/>
    </w:p>
    <w:p w14:paraId="7548B66F" w14:textId="77777777" w:rsidR="0015778B" w:rsidRPr="00C43543" w:rsidRDefault="0015778B" w:rsidP="0015778B">
      <w:pPr>
        <w:pStyle w:val="Heading1"/>
        <w:spacing w:after="0" w:line="240" w:lineRule="auto"/>
        <w:rPr>
          <w:rFonts w:ascii="Adobe Garamond Pro" w:hAnsi="Adobe Garamond Pro"/>
          <w14:ligatures w14:val="standardContextual"/>
        </w:rPr>
      </w:pPr>
      <w:bookmarkStart w:id="20" w:name="_Toc109728316"/>
      <w:r w:rsidRPr="00C43543">
        <w:rPr>
          <w:rFonts w:ascii="Adobe Garamond Pro" w:hAnsi="Adobe Garamond Pro"/>
          <w14:ligatures w14:val="standardContextual"/>
        </w:rPr>
        <w:t>STATEMENT OF THE CASE</w:t>
      </w:r>
      <w:bookmarkEnd w:id="20"/>
    </w:p>
    <w:p w14:paraId="018BB60A" w14:textId="77777777" w:rsidR="0015778B" w:rsidRPr="00C43543" w:rsidRDefault="0015778B" w:rsidP="00475B4F">
      <w:pPr>
        <w:pStyle w:val="Heading3"/>
        <w:spacing w:before="240"/>
        <w:ind w:left="720" w:hanging="720"/>
        <w:rPr>
          <w:rFonts w:ascii="Adobe Garamond Pro" w:hAnsi="Adobe Garamond Pro"/>
          <w14:ligatures w14:val="standardContextual"/>
        </w:rPr>
      </w:pPr>
      <w:bookmarkStart w:id="21" w:name="_Toc107574519"/>
      <w:bookmarkStart w:id="22" w:name="_Toc109728317"/>
      <w:r w:rsidRPr="00C43543">
        <w:rPr>
          <w:rFonts w:ascii="Adobe Garamond Pro" w:hAnsi="Adobe Garamond Pro"/>
          <w14:ligatures w14:val="standardContextual"/>
        </w:rPr>
        <w:t>Monsanto promotes and sells PCBs for 40 years despite knowing that they pose serious dangers to humans.</w:t>
      </w:r>
      <w:bookmarkEnd w:id="21"/>
      <w:bookmarkEnd w:id="22"/>
    </w:p>
    <w:p w14:paraId="67D35EE5" w14:textId="77777777" w:rsidR="0015778B" w:rsidRPr="00C43543" w:rsidRDefault="0015778B" w:rsidP="00475B4F">
      <w:pPr>
        <w:pStyle w:val="Heading3"/>
        <w:numPr>
          <w:ilvl w:val="3"/>
          <w:numId w:val="42"/>
        </w:numPr>
        <w:spacing w:before="240"/>
        <w:rPr>
          <w:rFonts w:ascii="Adobe Garamond Pro" w:hAnsi="Adobe Garamond Pro"/>
          <w14:ligatures w14:val="standardContextual"/>
        </w:rPr>
      </w:pPr>
      <w:bookmarkStart w:id="23" w:name="_Toc109728318"/>
      <w:r w:rsidRPr="00C43543">
        <w:rPr>
          <w:rFonts w:ascii="Adobe Garamond Pro" w:hAnsi="Adobe Garamond Pro"/>
          <w14:ligatures w14:val="standardContextual"/>
        </w:rPr>
        <w:t xml:space="preserve">“We know </w:t>
      </w:r>
      <w:proofErr w:type="spellStart"/>
      <w:r w:rsidRPr="00C43543">
        <w:rPr>
          <w:rFonts w:ascii="Adobe Garamond Pro" w:hAnsi="Adobe Garamond Pro"/>
          <w14:ligatures w14:val="standardContextual"/>
        </w:rPr>
        <w:t>Aroclors</w:t>
      </w:r>
      <w:proofErr w:type="spellEnd"/>
      <w:r w:rsidRPr="00C43543">
        <w:rPr>
          <w:rFonts w:ascii="Adobe Garamond Pro" w:hAnsi="Adobe Garamond Pro"/>
          <w14:ligatures w14:val="standardContextual"/>
        </w:rPr>
        <w:t xml:space="preserve"> are toxic”: In 1955, Monsanto’s St. Louis headquarters rebuffs a “very anxious” request from its own scientists to test PCBs’ toxicity.</w:t>
      </w:r>
      <w:bookmarkEnd w:id="23"/>
      <w:r w:rsidRPr="00C43543" w:rsidDel="004355E6">
        <w:rPr>
          <w:rFonts w:ascii="Adobe Garamond Pro" w:hAnsi="Adobe Garamond Pro"/>
          <w14:ligatures w14:val="standardContextual"/>
        </w:rPr>
        <w:t xml:space="preserve"> </w:t>
      </w:r>
    </w:p>
    <w:p w14:paraId="32EC590D" w14:textId="77777777" w:rsidR="0015778B" w:rsidRPr="00C43543" w:rsidRDefault="0015778B" w:rsidP="0015778B">
      <w:pPr>
        <w:pStyle w:val="BodyText"/>
        <w:rPr>
          <w:szCs w:val="28"/>
          <w14:ligatures w14:val="standardContextual"/>
        </w:rPr>
      </w:pPr>
      <w:r w:rsidRPr="00C43543">
        <w:rPr>
          <w:szCs w:val="28"/>
          <w14:ligatures w14:val="standardContextual"/>
        </w:rPr>
        <w:t>In 1955, Monsanto scientist J.W. Barrett dashed off an urgent memo from his post in London, England to corporate headquarters in St. Louis, Missouri. The subject was polychlorinated biphenyls, or PCBs</w:t>
      </w:r>
      <w:proofErr w:type="gramStart"/>
      <w:r w:rsidRPr="00C43543">
        <w:rPr>
          <w:szCs w:val="28"/>
          <w14:ligatures w14:val="standardContextual"/>
        </w:rPr>
        <w:t>—“</w:t>
      </w:r>
      <w:proofErr w:type="gramEnd"/>
      <w:r w:rsidRPr="00C43543">
        <w:rPr>
          <w:szCs w:val="28"/>
          <w14:ligatures w14:val="standardContextual"/>
        </w:rPr>
        <w:t xml:space="preserve">one of Monsanto’s most profitable franchises.” P-360 at 6; </w:t>
      </w:r>
      <w:r w:rsidRPr="00C43543">
        <w:rPr>
          <w:i/>
          <w:iCs/>
          <w:szCs w:val="28"/>
          <w14:ligatures w14:val="standardContextual"/>
        </w:rPr>
        <w:t xml:space="preserve">see </w:t>
      </w:r>
      <w:r w:rsidRPr="00C43543">
        <w:rPr>
          <w:szCs w:val="28"/>
          <w14:ligatures w14:val="standardContextual"/>
        </w:rPr>
        <w:t>P-248 at 47.</w:t>
      </w:r>
      <w:r w:rsidRPr="00C43543">
        <w:rPr>
          <w:rStyle w:val="FootnoteReference"/>
          <w:szCs w:val="28"/>
          <w14:ligatures w14:val="standardContextual"/>
        </w:rPr>
        <w:footnoteReference w:id="1"/>
      </w:r>
      <w:r w:rsidRPr="00C43543">
        <w:rPr>
          <w:szCs w:val="28"/>
          <w14:ligatures w14:val="standardContextual"/>
        </w:rPr>
        <w:t xml:space="preserve"> Monsanto had secured a monopoly over the U.S. market for PCBs and had spent the past decade expanding that market from industrial to consumer uses. P-594 at 4; P-273 at 17. The company had created dozens of different PCB combinations </w:t>
      </w:r>
      <w:r w:rsidRPr="00C43543">
        <w:rPr>
          <w:szCs w:val="28"/>
          <w14:ligatures w14:val="standardContextual"/>
        </w:rPr>
        <w:lastRenderedPageBreak/>
        <w:t xml:space="preserve">and was now selling them for use in countless products—paint, perfume, shoe polish, caulk, and light ballasts, to name a few. Tr. 678-79.  </w:t>
      </w:r>
    </w:p>
    <w:p w14:paraId="30210F35" w14:textId="5B82E66C" w:rsidR="0015778B" w:rsidRPr="00C43543" w:rsidRDefault="0015778B" w:rsidP="0015778B">
      <w:pPr>
        <w:pStyle w:val="BodyText"/>
        <w:rPr>
          <w:szCs w:val="28"/>
          <w14:ligatures w14:val="standardContextual"/>
        </w:rPr>
      </w:pPr>
      <w:r w:rsidRPr="00C43543">
        <w:rPr>
          <w:szCs w:val="28"/>
          <w14:ligatures w14:val="standardContextual"/>
        </w:rPr>
        <w:t>What Barrett wanted to know was whether Monsanto had plans to ensure that PCBs were safe for these uses. Sales had exploded “in the last six months,” and he</w:t>
      </w:r>
      <w:r w:rsidR="00E241D9">
        <w:rPr>
          <w:szCs w:val="28"/>
          <w14:ligatures w14:val="standardContextual"/>
        </w:rPr>
        <w:t xml:space="preserve"> </w:t>
      </w:r>
      <w:r w:rsidRPr="00C43543">
        <w:rPr>
          <w:szCs w:val="28"/>
          <w14:ligatures w14:val="standardContextual"/>
        </w:rPr>
        <w:t xml:space="preserve">was “very much concerned with the toxicity of </w:t>
      </w:r>
      <w:proofErr w:type="spellStart"/>
      <w:r w:rsidRPr="00C43543">
        <w:rPr>
          <w:szCs w:val="28"/>
          <w14:ligatures w14:val="standardContextual"/>
        </w:rPr>
        <w:t>Aroclors</w:t>
      </w:r>
      <w:proofErr w:type="spellEnd"/>
      <w:r w:rsidRPr="00C43543">
        <w:rPr>
          <w:szCs w:val="28"/>
          <w14:ligatures w14:val="standardContextual"/>
        </w:rPr>
        <w:t xml:space="preserve">”—a trade name for PCBs—and was “very anxious” to address the “necessity” of “getting some toxicological data.” P-144 at 1-2. His medical director would soon be “visiting St. Louis,” and he </w:t>
      </w:r>
      <w:r w:rsidR="00E241D9">
        <w:rPr>
          <w:szCs w:val="28"/>
          <w14:ligatures w14:val="standardContextual"/>
        </w:rPr>
        <w:t xml:space="preserve">provided </w:t>
      </w:r>
      <w:r w:rsidRPr="00C43543">
        <w:rPr>
          <w:szCs w:val="28"/>
          <w14:ligatures w14:val="standardContextual"/>
        </w:rPr>
        <w:t>assur</w:t>
      </w:r>
      <w:r w:rsidR="00E241D9">
        <w:rPr>
          <w:szCs w:val="28"/>
          <w14:ligatures w14:val="standardContextual"/>
        </w:rPr>
        <w:t>ance</w:t>
      </w:r>
      <w:r w:rsidRPr="00C43543">
        <w:rPr>
          <w:szCs w:val="28"/>
          <w14:ligatures w14:val="standardContextual"/>
        </w:rPr>
        <w:t xml:space="preserve"> that </w:t>
      </w:r>
      <w:r w:rsidR="00E241D9">
        <w:rPr>
          <w:szCs w:val="28"/>
          <w14:ligatures w14:val="standardContextual"/>
        </w:rPr>
        <w:t>t</w:t>
      </w:r>
      <w:r w:rsidRPr="00C43543">
        <w:rPr>
          <w:szCs w:val="28"/>
          <w14:ligatures w14:val="standardContextual"/>
        </w:rPr>
        <w:t>he</w:t>
      </w:r>
      <w:r w:rsidR="00E241D9">
        <w:rPr>
          <w:szCs w:val="28"/>
          <w14:ligatures w14:val="standardContextual"/>
        </w:rPr>
        <w:t>y</w:t>
      </w:r>
      <w:r w:rsidRPr="00C43543">
        <w:rPr>
          <w:szCs w:val="28"/>
          <w14:ligatures w14:val="standardContextual"/>
        </w:rPr>
        <w:t xml:space="preserve"> “would certainly not do this without full” approval from headquarters. </w:t>
      </w:r>
      <w:r w:rsidRPr="00C43543">
        <w:rPr>
          <w:i/>
          <w:iCs/>
          <w:szCs w:val="28"/>
          <w14:ligatures w14:val="standardContextual"/>
        </w:rPr>
        <w:t xml:space="preserve">Id. </w:t>
      </w:r>
    </w:p>
    <w:p w14:paraId="7F5122AA"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Barrett’s request wasn’t unusual. For more than a decade, it had been standard industry practice to test the toxicity of new chemicals before selling them to the public. As the Industrial Hygiene Foundation of America put it in 1942: “Every new chemical or product should be investigated as to its toxicity before it is prepared in large amounts and released to the public.” P-76 at 35. To meet this standard, chemical companies typically performed two-year chronic toxicity tests evaluating effects of long-term exposure. Tr. 1507-08. This testing was part of being a “good </w:t>
      </w:r>
      <w:r w:rsidRPr="00C43543">
        <w:rPr>
          <w:szCs w:val="28"/>
          <w14:ligatures w14:val="standardContextual"/>
        </w:rPr>
        <w:lastRenderedPageBreak/>
        <w:t xml:space="preserve">industrial steward,” and “large producers of synthetic chemicals” typically complied. Tr. 1498; P-76 at 35. Monsanto itself did the same—that is, for virtually “everything but PCB[s].” Tr. 1508. </w:t>
      </w:r>
    </w:p>
    <w:p w14:paraId="66ABDFB9"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Yet PCBs are part of a chemical family that’s “presumed to be very toxic,” Tr. 1313, and Monsanto had known for years that they in fact were. In 1934, several factory workers died from PCB inhalation. Tr. 1318; </w:t>
      </w:r>
      <w:r w:rsidRPr="00C43543">
        <w:rPr>
          <w:i/>
          <w:iCs/>
          <w:szCs w:val="28"/>
          <w14:ligatures w14:val="standardContextual"/>
        </w:rPr>
        <w:t xml:space="preserve">see </w:t>
      </w:r>
      <w:r w:rsidRPr="00C43543">
        <w:rPr>
          <w:szCs w:val="28"/>
          <w14:ligatures w14:val="standardContextual"/>
        </w:rPr>
        <w:t xml:space="preserve">P-653 at 2-3. By 1937, Monsanto understood that “prolonged exposure to </w:t>
      </w:r>
      <w:proofErr w:type="spellStart"/>
      <w:r w:rsidRPr="00C43543">
        <w:rPr>
          <w:szCs w:val="28"/>
          <w14:ligatures w14:val="standardContextual"/>
        </w:rPr>
        <w:t>Aroclor</w:t>
      </w:r>
      <w:proofErr w:type="spellEnd"/>
      <w:r w:rsidRPr="00C43543">
        <w:rPr>
          <w:szCs w:val="28"/>
          <w14:ligatures w14:val="standardContextual"/>
        </w:rPr>
        <w:t xml:space="preserve"> vapors evolved at high temperatures . . . will lead to systemic toxic effects.” D-20081. Seven years later, Monsanto learned that exposure to PCB fumes caused organ damage in animals. Tr. 685-86; P-89. And by 1952, Monsanto privately regarded “the toxicity hazard </w:t>
      </w:r>
      <w:r w:rsidRPr="00C43543">
        <w:rPr>
          <w:color w:val="000000" w:themeColor="text1"/>
          <w:szCs w:val="28"/>
          <w14:ligatures w14:val="standardContextual"/>
        </w:rPr>
        <w:t xml:space="preserve">of [PCB] fumes” as “well established.” P-120 at 2; </w:t>
      </w:r>
      <w:r w:rsidRPr="00C43543">
        <w:rPr>
          <w:i/>
          <w:iCs/>
          <w:szCs w:val="28"/>
          <w14:ligatures w14:val="standardContextual"/>
        </w:rPr>
        <w:t xml:space="preserve">see </w:t>
      </w:r>
      <w:r w:rsidRPr="00C43543">
        <w:rPr>
          <w:szCs w:val="28"/>
          <w14:ligatures w14:val="standardContextual"/>
        </w:rPr>
        <w:t xml:space="preserve">P-133. A few years after that, </w:t>
      </w:r>
      <w:r w:rsidRPr="00C43543">
        <w:rPr>
          <w:color w:val="000000" w:themeColor="text1"/>
          <w:szCs w:val="28"/>
          <w14:ligatures w14:val="standardContextual"/>
        </w:rPr>
        <w:t xml:space="preserve">Monsanto began warning its employees (but no one else) that PCB inhalation “usually” causes “systemic </w:t>
      </w:r>
      <w:r w:rsidRPr="00C43543">
        <w:rPr>
          <w:szCs w:val="28"/>
          <w14:ligatures w14:val="standardContextual"/>
        </w:rPr>
        <w:t>poisoning.” P-150 at 10; Tr. 711.</w:t>
      </w:r>
    </w:p>
    <w:p w14:paraId="6AB2A1BC"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When Barrett’s memo arrived in St. Louis, it wasn’t well received. It landed on the desk of Emmet Kelly, a St. Louis native who had headed the company’s “medical department” since 1946 (and whose 28-year tenure would come to encompass the world’s most notorious chemicals, from DDT to Agent Orange). Kelly </w:t>
      </w:r>
      <w:r w:rsidRPr="00C43543">
        <w:rPr>
          <w:szCs w:val="28"/>
          <w14:ligatures w14:val="standardContextual"/>
        </w:rPr>
        <w:lastRenderedPageBreak/>
        <w:t xml:space="preserve">quickly shot down the request. He minced no words: “What is it that you want to prove?” P-145 at 1. “We know </w:t>
      </w:r>
      <w:proofErr w:type="spellStart"/>
      <w:r w:rsidRPr="00C43543">
        <w:rPr>
          <w:szCs w:val="28"/>
          <w14:ligatures w14:val="standardContextual"/>
        </w:rPr>
        <w:t>Aroclors</w:t>
      </w:r>
      <w:proofErr w:type="spellEnd"/>
      <w:r w:rsidRPr="00C43543">
        <w:rPr>
          <w:szCs w:val="28"/>
          <w14:ligatures w14:val="standardContextual"/>
        </w:rPr>
        <w:t xml:space="preserve"> are toxic,” and the degree of toxicity “does not make too much difference.” </w:t>
      </w:r>
      <w:r w:rsidRPr="00C43543">
        <w:rPr>
          <w:i/>
          <w:iCs/>
          <w:szCs w:val="28"/>
          <w14:ligatures w14:val="standardContextual"/>
        </w:rPr>
        <w:t>Id.</w:t>
      </w:r>
      <w:r w:rsidRPr="00C43543">
        <w:rPr>
          <w:szCs w:val="28"/>
          <w14:ligatures w14:val="standardContextual"/>
        </w:rPr>
        <w:t xml:space="preserve"> He recognized that PCB use by “householders” required more caution than “industrial application,” but the “main worry” already on his mind in 1955 was how “the juries” of the future would react. </w:t>
      </w:r>
      <w:r w:rsidRPr="00C43543">
        <w:rPr>
          <w:i/>
          <w:iCs/>
          <w:szCs w:val="28"/>
          <w14:ligatures w14:val="standardContextual"/>
        </w:rPr>
        <w:t>Id.</w:t>
      </w:r>
      <w:r w:rsidRPr="00C43543">
        <w:rPr>
          <w:szCs w:val="28"/>
          <w14:ligatures w14:val="standardContextual"/>
        </w:rPr>
        <w:t xml:space="preserve"> at 1-2. He curtly told Barrett that there was no “advantage in doing more work,” and that he did “not believe any more testing would be justified.” </w:t>
      </w:r>
      <w:r w:rsidRPr="00C43543">
        <w:rPr>
          <w:i/>
          <w:iCs/>
          <w:szCs w:val="28"/>
          <w14:ligatures w14:val="standardContextual"/>
        </w:rPr>
        <w:t>Id.</w:t>
      </w:r>
      <w:r w:rsidRPr="00C43543">
        <w:rPr>
          <w:szCs w:val="28"/>
          <w14:ligatures w14:val="standardContextual"/>
        </w:rPr>
        <w:t xml:space="preserve"> at 1-2. </w:t>
      </w:r>
    </w:p>
    <w:p w14:paraId="61F387DB" w14:textId="77777777" w:rsidR="0015778B" w:rsidRPr="00C43543" w:rsidRDefault="0015778B" w:rsidP="00475B4F">
      <w:pPr>
        <w:pStyle w:val="Heading3"/>
        <w:numPr>
          <w:ilvl w:val="3"/>
          <w:numId w:val="42"/>
        </w:numPr>
        <w:rPr>
          <w:rFonts w:ascii="Adobe Garamond Pro" w:hAnsi="Adobe Garamond Pro"/>
          <w14:ligatures w14:val="standardContextual"/>
        </w:rPr>
      </w:pPr>
      <w:bookmarkStart w:id="24" w:name="_Toc109728319"/>
      <w:r w:rsidRPr="00C43543">
        <w:rPr>
          <w:rFonts w:ascii="Adobe Garamond Pro" w:hAnsi="Adobe Garamond Pro"/>
          <w14:ligatures w14:val="standardContextual"/>
        </w:rPr>
        <w:t>“Just too toxic for use”: The U.S. Navy refuses to buy PCBs in 1957 because of the risks from inhalation.</w:t>
      </w:r>
      <w:bookmarkEnd w:id="24"/>
      <w:r w:rsidRPr="00C43543">
        <w:rPr>
          <w:rFonts w:ascii="Adobe Garamond Pro" w:hAnsi="Adobe Garamond Pro"/>
          <w14:ligatures w14:val="standardContextual"/>
        </w:rPr>
        <w:t xml:space="preserve"> </w:t>
      </w:r>
    </w:p>
    <w:p w14:paraId="56AFBF3D"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It didn’t take long for Barrett’s concerns to be validated. The same week that Kelly put a stop to any testing, his protégé and assistant director, Elmer Wheeler, met with the U.S. Navy “to discuss the toxicity and safe handling of </w:t>
      </w:r>
      <w:proofErr w:type="spellStart"/>
      <w:r w:rsidRPr="00C43543">
        <w:rPr>
          <w:szCs w:val="28"/>
          <w14:ligatures w14:val="standardContextual"/>
        </w:rPr>
        <w:t>Pydraul</w:t>
      </w:r>
      <w:proofErr w:type="spellEnd"/>
      <w:r w:rsidRPr="00C43543">
        <w:rPr>
          <w:szCs w:val="28"/>
          <w14:ligatures w14:val="standardContextual"/>
        </w:rPr>
        <w:t xml:space="preserve"> 150” (another PCB trade name). P-225. The Navy was considering using PCBs “aboard submarines.” </w:t>
      </w:r>
      <w:r w:rsidRPr="00C43543">
        <w:rPr>
          <w:i/>
          <w:iCs/>
          <w:szCs w:val="28"/>
          <w14:ligatures w14:val="standardContextual"/>
        </w:rPr>
        <w:t>Id.</w:t>
      </w:r>
      <w:r w:rsidRPr="00C43543">
        <w:rPr>
          <w:szCs w:val="28"/>
          <w14:ligatures w14:val="standardContextual"/>
        </w:rPr>
        <w:t xml:space="preserve"> Wheeler hoped to persuade them that PCBs were safe for that use—even though, as he noted before the meeting, “submarine crews have had to wear rubber suits and dress up like men from Mars when handling or working with </w:t>
      </w:r>
      <w:proofErr w:type="spellStart"/>
      <w:r w:rsidRPr="00C43543">
        <w:rPr>
          <w:szCs w:val="28"/>
          <w14:ligatures w14:val="standardContextual"/>
        </w:rPr>
        <w:t>Pydraul</w:t>
      </w:r>
      <w:proofErr w:type="spellEnd"/>
      <w:r w:rsidRPr="00C43543">
        <w:rPr>
          <w:szCs w:val="28"/>
          <w14:ligatures w14:val="standardContextual"/>
        </w:rPr>
        <w:t xml:space="preserve"> 150.” </w:t>
      </w:r>
      <w:r w:rsidRPr="00C43543">
        <w:rPr>
          <w:i/>
          <w:iCs/>
          <w:szCs w:val="28"/>
          <w14:ligatures w14:val="standardContextual"/>
        </w:rPr>
        <w:t>Id.</w:t>
      </w:r>
      <w:r w:rsidRPr="00C43543">
        <w:rPr>
          <w:szCs w:val="28"/>
          <w14:ligatures w14:val="standardContextual"/>
        </w:rPr>
        <w:t xml:space="preserve"> </w:t>
      </w:r>
    </w:p>
    <w:p w14:paraId="2F486978" w14:textId="41E4C2BF"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But the Navy wouldn’t just take Monsanto at its word. Instead, the Naval Institute of Medical Research conducted a toxicity test on 150 rabbits. P-162; Tr. 727. The results were hard to ignore: “Skin applications of </w:t>
      </w:r>
      <w:proofErr w:type="spellStart"/>
      <w:r w:rsidRPr="00C43543">
        <w:rPr>
          <w:szCs w:val="28"/>
          <w14:ligatures w14:val="standardContextual"/>
        </w:rPr>
        <w:t>Pydraul</w:t>
      </w:r>
      <w:proofErr w:type="spellEnd"/>
      <w:r w:rsidRPr="00C43543">
        <w:rPr>
          <w:szCs w:val="28"/>
          <w14:ligatures w14:val="standardContextual"/>
        </w:rPr>
        <w:t xml:space="preserve"> 150 caused death in all of the rabbits tested,” while a “like amount” of an alternative non-PCB compound killed none. </w:t>
      </w:r>
      <w:r w:rsidR="00DA4E99" w:rsidRPr="00C43543">
        <w:rPr>
          <w:szCs w:val="28"/>
          <w14:ligatures w14:val="standardContextual"/>
        </w:rPr>
        <w:t>P-162.</w:t>
      </w:r>
      <w:r w:rsidRPr="00C43543">
        <w:rPr>
          <w:i/>
          <w:iCs/>
          <w:szCs w:val="28"/>
          <w14:ligatures w14:val="standardContextual"/>
        </w:rPr>
        <w:t xml:space="preserve"> </w:t>
      </w:r>
      <w:r w:rsidRPr="00C43543">
        <w:rPr>
          <w:szCs w:val="28"/>
          <w14:ligatures w14:val="standardContextual"/>
        </w:rPr>
        <w:t xml:space="preserve">Even the inhalation of a small amount of PCBs over a 50-day period “caused, statistically, definite liver damage.” </w:t>
      </w:r>
      <w:r w:rsidRPr="00C43543">
        <w:rPr>
          <w:i/>
          <w:iCs/>
          <w:szCs w:val="28"/>
          <w14:ligatures w14:val="standardContextual"/>
        </w:rPr>
        <w:t>Id.</w:t>
      </w:r>
    </w:p>
    <w:p w14:paraId="0802E010"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The Navy had seen enough. When Kelly met with “the Navy people” in early 1957, they told him of their findings. </w:t>
      </w:r>
      <w:r w:rsidRPr="00C43543">
        <w:rPr>
          <w:i/>
          <w:iCs/>
          <w:szCs w:val="28"/>
          <w14:ligatures w14:val="standardContextual"/>
        </w:rPr>
        <w:t>Id.</w:t>
      </w:r>
      <w:r w:rsidRPr="00C43543">
        <w:rPr>
          <w:szCs w:val="28"/>
          <w14:ligatures w14:val="standardContextual"/>
        </w:rPr>
        <w:t xml:space="preserve"> They were adamant that “</w:t>
      </w:r>
      <w:proofErr w:type="spellStart"/>
      <w:r w:rsidRPr="00C43543">
        <w:rPr>
          <w:szCs w:val="28"/>
          <w14:ligatures w14:val="standardContextual"/>
        </w:rPr>
        <w:t>Pydraul</w:t>
      </w:r>
      <w:proofErr w:type="spellEnd"/>
      <w:r w:rsidRPr="00C43543">
        <w:rPr>
          <w:szCs w:val="28"/>
          <w14:ligatures w14:val="standardContextual"/>
        </w:rPr>
        <w:t xml:space="preserve"> 150 is just too toxic for use in a submarine.” </w:t>
      </w:r>
      <w:r w:rsidRPr="00C43543">
        <w:rPr>
          <w:i/>
          <w:iCs/>
          <w:szCs w:val="28"/>
          <w14:ligatures w14:val="standardContextual"/>
        </w:rPr>
        <w:t xml:space="preserve">Id. </w:t>
      </w:r>
      <w:r w:rsidRPr="00C43543">
        <w:rPr>
          <w:szCs w:val="28"/>
          <w14:ligatures w14:val="standardContextual"/>
        </w:rPr>
        <w:t xml:space="preserve">So toxic, in fact, that they feared a “potential leak” and weren’t “willing to even put [it] in a trial run” of a few weeks. </w:t>
      </w:r>
      <w:r w:rsidRPr="00C43543">
        <w:rPr>
          <w:i/>
          <w:iCs/>
          <w:szCs w:val="28"/>
          <w14:ligatures w14:val="standardContextual"/>
        </w:rPr>
        <w:t>Id.</w:t>
      </w:r>
      <w:r w:rsidRPr="00C43543">
        <w:rPr>
          <w:szCs w:val="28"/>
          <w14:ligatures w14:val="standardContextual"/>
        </w:rPr>
        <w:t>; Tr. 890.</w:t>
      </w:r>
    </w:p>
    <w:p w14:paraId="715A7384"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25" w:name="_Toc109728320"/>
      <w:r w:rsidRPr="00C43543">
        <w:rPr>
          <w:rFonts w:ascii="Adobe Garamond Pro" w:hAnsi="Adobe Garamond Pro"/>
          <w14:ligatures w14:val="standardContextual"/>
        </w:rPr>
        <w:t>“Singularly free of difficulties”: Monsanto misrepresents PCBs’ dangers to customers and regulators throughout the 1950s and 60s.</w:t>
      </w:r>
      <w:bookmarkEnd w:id="25"/>
    </w:p>
    <w:p w14:paraId="360E8784" w14:textId="59A91F1F" w:rsidR="0015778B" w:rsidRPr="00C43543" w:rsidRDefault="0015778B" w:rsidP="0015778B">
      <w:pPr>
        <w:pStyle w:val="BodyText"/>
        <w:rPr>
          <w:szCs w:val="28"/>
          <w14:ligatures w14:val="standardContextual"/>
        </w:rPr>
      </w:pPr>
      <w:r w:rsidRPr="00C43543">
        <w:rPr>
          <w:szCs w:val="28"/>
          <w14:ligatures w14:val="standardContextual"/>
        </w:rPr>
        <w:t xml:space="preserve">Monsanto decided not to share the Navy’s findings. A month after learning that all the rabbits had died, Kelly reassured one customer that a “toxicity report” showed that </w:t>
      </w:r>
      <w:proofErr w:type="spellStart"/>
      <w:r w:rsidRPr="00C43543">
        <w:rPr>
          <w:szCs w:val="28"/>
          <w14:ligatures w14:val="standardContextual"/>
        </w:rPr>
        <w:t>Pydraul</w:t>
      </w:r>
      <w:proofErr w:type="spellEnd"/>
      <w:r w:rsidRPr="00C43543">
        <w:rPr>
          <w:szCs w:val="28"/>
          <w14:ligatures w14:val="standardContextual"/>
        </w:rPr>
        <w:t xml:space="preserve"> 150 “caused no serious side effects” in “the skin of rabbits.” </w:t>
      </w:r>
      <w:r w:rsidR="00DA4E99" w:rsidRPr="00C43543">
        <w:rPr>
          <w:szCs w:val="28"/>
          <w14:ligatures w14:val="standardContextual"/>
        </w:rPr>
        <w:t>P-</w:t>
      </w:r>
      <w:r w:rsidRPr="00C43543">
        <w:rPr>
          <w:szCs w:val="28"/>
          <w14:ligatures w14:val="standardContextual"/>
        </w:rPr>
        <w:t xml:space="preserve">163 at 1. The effects, he added, were “less than we experience with a 10 per cent aqueous soap solution.” </w:t>
      </w:r>
      <w:r w:rsidRPr="00C43543">
        <w:rPr>
          <w:i/>
          <w:iCs/>
          <w:szCs w:val="28"/>
          <w14:ligatures w14:val="standardContextual"/>
        </w:rPr>
        <w:t>Id.</w:t>
      </w:r>
      <w:r w:rsidRPr="00C43543">
        <w:rPr>
          <w:szCs w:val="28"/>
          <w14:ligatures w14:val="standardContextual"/>
        </w:rPr>
        <w:t xml:space="preserve"> Over the next decade, he told other customers </w:t>
      </w:r>
      <w:r w:rsidRPr="00C43543">
        <w:rPr>
          <w:szCs w:val="28"/>
          <w14:ligatures w14:val="standardContextual"/>
        </w:rPr>
        <w:lastRenderedPageBreak/>
        <w:t xml:space="preserve">the same thing. In 1965, for example, he told DuPont that PCBs caused no more harm in rabbits than a “soap solution.” P-238; </w:t>
      </w:r>
      <w:r w:rsidRPr="00C43543">
        <w:rPr>
          <w:i/>
          <w:iCs/>
          <w:szCs w:val="28"/>
          <w14:ligatures w14:val="standardContextual"/>
        </w:rPr>
        <w:t>see also, e.g.</w:t>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P-166.</w:t>
      </w:r>
    </w:p>
    <w:p w14:paraId="66719078" w14:textId="77777777" w:rsidR="0015778B" w:rsidRPr="00C43543" w:rsidRDefault="0015778B" w:rsidP="0015778B">
      <w:pPr>
        <w:pStyle w:val="BodyText"/>
        <w:rPr>
          <w:szCs w:val="28"/>
          <w14:ligatures w14:val="standardContextual"/>
        </w:rPr>
      </w:pPr>
      <w:r w:rsidRPr="00C43543">
        <w:rPr>
          <w:szCs w:val="28"/>
          <w14:ligatures w14:val="standardContextual"/>
        </w:rPr>
        <w:t>Privately, however, Monsanto was concerned that the Navy would publish its findings. Kelly wasted no time. Within months, he was lobbying the Navy to keep the rabbits’ fate under wraps. Kelly enlisted his assistant, Elmer Wheeler, to write a letter to the Navy Medical Research Institute, and dispatched a lobbyist in Washington, D.C. to “</w:t>
      </w:r>
      <w:proofErr w:type="gramStart"/>
      <w:r w:rsidRPr="00C43543">
        <w:rPr>
          <w:szCs w:val="28"/>
          <w14:ligatures w14:val="standardContextual"/>
        </w:rPr>
        <w:t>deliver[</w:t>
      </w:r>
      <w:proofErr w:type="gramEnd"/>
      <w:r w:rsidRPr="00C43543">
        <w:rPr>
          <w:szCs w:val="28"/>
          <w14:ligatures w14:val="standardContextual"/>
        </w:rPr>
        <w:t>] it personally” in an envelope stamped “Commercially Discrete for Official Use Only.” P-173. Days later, Monsanto’s lobbyist reported back to St. Louis that he had managed to get the Navy to agree that the “Commercially Discrete” information “will not be released to outside groups,” and that if the Navy published any of its scientific findings, it would</w:t>
      </w:r>
      <w:r w:rsidRPr="00C43543">
        <w:rPr>
          <w:i/>
          <w:iCs/>
          <w:szCs w:val="28"/>
          <w14:ligatures w14:val="standardContextual"/>
        </w:rPr>
        <w:t xml:space="preserve"> “</w:t>
      </w:r>
      <w:r w:rsidRPr="00C43543">
        <w:rPr>
          <w:szCs w:val="28"/>
          <w14:ligatures w14:val="standardContextual"/>
        </w:rPr>
        <w:t>avoid all reference” to “</w:t>
      </w:r>
      <w:proofErr w:type="spellStart"/>
      <w:r w:rsidRPr="00C43543">
        <w:rPr>
          <w:szCs w:val="28"/>
          <w14:ligatures w14:val="standardContextual"/>
        </w:rPr>
        <w:t>Pydraul</w:t>
      </w:r>
      <w:proofErr w:type="spellEnd"/>
      <w:r w:rsidRPr="00C43543">
        <w:rPr>
          <w:szCs w:val="28"/>
          <w14:ligatures w14:val="standardContextual"/>
        </w:rPr>
        <w:t xml:space="preserve"> 150” or “Monsanto.” </w:t>
      </w:r>
      <w:r w:rsidRPr="00C43543">
        <w:rPr>
          <w:i/>
          <w:iCs/>
          <w:szCs w:val="28"/>
          <w14:ligatures w14:val="standardContextual"/>
        </w:rPr>
        <w:t>Id.</w:t>
      </w:r>
      <w:r w:rsidRPr="00C43543">
        <w:rPr>
          <w:szCs w:val="28"/>
          <w14:ligatures w14:val="standardContextual"/>
        </w:rPr>
        <w:t xml:space="preserve"> He concluded: “I believe this complies with your interests.” </w:t>
      </w:r>
      <w:r w:rsidRPr="00C43543">
        <w:rPr>
          <w:i/>
          <w:iCs/>
          <w:szCs w:val="28"/>
          <w14:ligatures w14:val="standardContextual"/>
        </w:rPr>
        <w:t>Id.</w:t>
      </w:r>
    </w:p>
    <w:p w14:paraId="2DC02A4E" w14:textId="77777777" w:rsidR="0015778B" w:rsidRPr="00C43543" w:rsidRDefault="0015778B" w:rsidP="0015778B">
      <w:pPr>
        <w:pStyle w:val="BodyText"/>
        <w:rPr>
          <w:szCs w:val="28"/>
          <w:lang w:bidi="en-US"/>
          <w14:ligatures w14:val="standardContextual"/>
        </w:rPr>
      </w:pPr>
      <w:r w:rsidRPr="00C43543">
        <w:rPr>
          <w:szCs w:val="28"/>
          <w:lang w:bidi="en-US"/>
          <w14:ligatures w14:val="standardContextual"/>
        </w:rPr>
        <w:t xml:space="preserve">The Navy episode typified Monsanto’s general approach to informing the public about PCBs’ dangers. Although it had promised the U.S. Public Health Service in 1943 that it would warn downstream distributers of PCBs’ toxicity, Monsanto never did so. </w:t>
      </w:r>
      <w:r w:rsidRPr="00C43543">
        <w:rPr>
          <w:szCs w:val="28"/>
          <w:lang w:bidi="en-US"/>
          <w14:ligatures w14:val="standardContextual"/>
        </w:rPr>
        <w:lastRenderedPageBreak/>
        <w:t xml:space="preserve">P-120 at 1; Tr. 693-97. Instead, even when it received a request in 1958 to put a specific warning label on </w:t>
      </w:r>
      <w:proofErr w:type="spellStart"/>
      <w:r w:rsidRPr="00C43543">
        <w:rPr>
          <w:szCs w:val="28"/>
          <w:lang w:bidi="en-US"/>
          <w14:ligatures w14:val="standardContextual"/>
        </w:rPr>
        <w:t>Pydraul</w:t>
      </w:r>
      <w:proofErr w:type="spellEnd"/>
      <w:r w:rsidRPr="00C43543">
        <w:rPr>
          <w:szCs w:val="28"/>
          <w:lang w:bidi="en-US"/>
          <w14:ligatures w14:val="standardContextual"/>
        </w:rPr>
        <w:t xml:space="preserve"> purchased for resale, Monsanto recoiled. P-182 at 1. A memo from St. Louis explained that divulging this information was “of great concern to us” and “not in the best interest of </w:t>
      </w:r>
      <w:proofErr w:type="spellStart"/>
      <w:r w:rsidRPr="00C43543">
        <w:rPr>
          <w:szCs w:val="28"/>
          <w:lang w:bidi="en-US"/>
          <w14:ligatures w14:val="standardContextual"/>
        </w:rPr>
        <w:t>Pydraul</w:t>
      </w:r>
      <w:proofErr w:type="spellEnd"/>
      <w:r w:rsidRPr="00C43543">
        <w:rPr>
          <w:szCs w:val="28"/>
          <w:lang w:bidi="en-US"/>
          <w14:ligatures w14:val="standardContextual"/>
        </w:rPr>
        <w:t xml:space="preserve"> sales.” </w:t>
      </w:r>
      <w:r w:rsidRPr="00C43543">
        <w:rPr>
          <w:i/>
          <w:iCs/>
          <w:szCs w:val="28"/>
          <w:lang w:bidi="en-US"/>
          <w14:ligatures w14:val="standardContextual"/>
        </w:rPr>
        <w:t>Id.</w:t>
      </w:r>
      <w:r w:rsidRPr="00C43543">
        <w:rPr>
          <w:szCs w:val="28"/>
          <w:lang w:bidi="en-US"/>
          <w14:ligatures w14:val="standardContextual"/>
        </w:rPr>
        <w:t xml:space="preserve"> When it came to warnings, Monsanto’s policy was to not “give any unnecessary information which could very well damage our sales position.” </w:t>
      </w:r>
      <w:r w:rsidRPr="00C43543">
        <w:rPr>
          <w:i/>
          <w:iCs/>
          <w:szCs w:val="28"/>
          <w:lang w:bidi="en-US"/>
          <w14:ligatures w14:val="standardContextual"/>
        </w:rPr>
        <w:t>Id.</w:t>
      </w:r>
    </w:p>
    <w:p w14:paraId="4023BC97" w14:textId="77777777" w:rsidR="0015778B" w:rsidRPr="00C43543" w:rsidRDefault="0015778B" w:rsidP="0015778B">
      <w:pPr>
        <w:pStyle w:val="BodyText"/>
        <w:rPr>
          <w:i/>
          <w:iCs/>
          <w:szCs w:val="28"/>
          <w:lang w:bidi="en-US"/>
          <w14:ligatures w14:val="standardContextual"/>
        </w:rPr>
      </w:pPr>
      <w:r w:rsidRPr="00C43543">
        <w:rPr>
          <w:szCs w:val="28"/>
          <w:lang w:bidi="en-US"/>
          <w14:ligatures w14:val="standardContextual"/>
        </w:rPr>
        <w:t xml:space="preserve">Monsanto was no more forthcoming with regulators. After the FDA gained regulatory authority over PCBs in foods in 1958, Monsanto made “no effort to provide ‘safety’ data” to the agency. P-653 at 27. As Wheeler later admitted to Monsanto attorneys, that was for reasons “you will probably not like.” </w:t>
      </w:r>
      <w:r w:rsidRPr="00C43543">
        <w:rPr>
          <w:i/>
          <w:iCs/>
          <w:szCs w:val="28"/>
          <w:lang w:bidi="en-US"/>
          <w14:ligatures w14:val="standardContextual"/>
        </w:rPr>
        <w:t>Id.</w:t>
      </w:r>
      <w:r w:rsidRPr="00C43543">
        <w:rPr>
          <w:szCs w:val="28"/>
          <w:lang w:bidi="en-US"/>
          <w14:ligatures w14:val="standardContextual"/>
        </w:rPr>
        <w:t xml:space="preserve"> Monsanto “didn’t have the data to support [PCB] safety,” and had “no intention of spending the money to get the data.” </w:t>
      </w:r>
      <w:r w:rsidRPr="00C43543">
        <w:rPr>
          <w:i/>
          <w:iCs/>
          <w:szCs w:val="28"/>
          <w:lang w:bidi="en-US"/>
          <w14:ligatures w14:val="standardContextual"/>
        </w:rPr>
        <w:t xml:space="preserve">Id. </w:t>
      </w:r>
      <w:r w:rsidRPr="00C43543">
        <w:rPr>
          <w:szCs w:val="28"/>
          <w:lang w:bidi="en-US"/>
          <w14:ligatures w14:val="standardContextual"/>
        </w:rPr>
        <w:t xml:space="preserve">When asked why, his answer was coy: “You get intuitive feelings about what’s the smart way to proceed on these things.” </w:t>
      </w:r>
      <w:r w:rsidRPr="00C43543">
        <w:rPr>
          <w:i/>
          <w:iCs/>
          <w:szCs w:val="28"/>
          <w:lang w:bidi="en-US"/>
          <w14:ligatures w14:val="standardContextual"/>
        </w:rPr>
        <w:t>Id.</w:t>
      </w:r>
    </w:p>
    <w:p w14:paraId="3606C6EC" w14:textId="77777777" w:rsidR="0015778B" w:rsidRPr="00C43543" w:rsidRDefault="0015778B" w:rsidP="0015778B">
      <w:pPr>
        <w:pStyle w:val="BodyText"/>
        <w:rPr>
          <w:szCs w:val="28"/>
          <w:lang w:bidi="en-US"/>
          <w14:ligatures w14:val="standardContextual"/>
        </w:rPr>
      </w:pPr>
      <w:r w:rsidRPr="00C43543">
        <w:rPr>
          <w:szCs w:val="28"/>
          <w:lang w:bidi="en-US"/>
          <w14:ligatures w14:val="standardContextual"/>
        </w:rPr>
        <w:t xml:space="preserve">But at other times, Monsanto was more direct. Confident that the company’s monopoly would allow it to continue concealing PCBs’ damaging effects, Kelly boasted to an official at the U.S. Public Health Service in 1962: “Our experience [with PCBs,] and </w:t>
      </w:r>
      <w:r w:rsidRPr="00C43543">
        <w:rPr>
          <w:szCs w:val="28"/>
          <w:lang w:bidi="en-US"/>
          <w14:ligatures w14:val="standardContextual"/>
        </w:rPr>
        <w:lastRenderedPageBreak/>
        <w:t>the experience of our customers over a period of nearly 25 years, has been singularly free of difficulties.” P-212.</w:t>
      </w:r>
    </w:p>
    <w:p w14:paraId="3D0A0BF3"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26" w:name="_Toc109728321"/>
      <w:r w:rsidRPr="00C43543">
        <w:rPr>
          <w:rFonts w:ascii="Adobe Garamond Pro" w:hAnsi="Adobe Garamond Pro"/>
          <w14:ligatures w14:val="standardContextual"/>
        </w:rPr>
        <w:t>“The consensus in St. Louis”: Monsanto becomes “very worried” about public scrutiny of PCBs after Swedish scientists publish new toxicity findings.</w:t>
      </w:r>
      <w:bookmarkEnd w:id="26"/>
    </w:p>
    <w:p w14:paraId="4579364E" w14:textId="77777777" w:rsidR="0015778B" w:rsidRPr="00C43543" w:rsidRDefault="0015778B" w:rsidP="0015778B">
      <w:pPr>
        <w:pStyle w:val="BodyText"/>
        <w:rPr>
          <w:szCs w:val="28"/>
          <w14:ligatures w14:val="standardContextual"/>
        </w:rPr>
      </w:pPr>
      <w:r w:rsidRPr="00C43543">
        <w:rPr>
          <w:szCs w:val="28"/>
          <w14:ligatures w14:val="standardContextual"/>
        </w:rPr>
        <w:t>Monsanto couldn’t hide the truth about PCBs forever. In late 1966, two Swedish scientists discovered PCBs in the air, fish, wildlife,</w:t>
      </w:r>
      <w:r w:rsidRPr="00C43543">
        <w:rPr>
          <w:szCs w:val="28"/>
          <w:lang w:bidi="en-US"/>
          <w14:ligatures w14:val="standardContextual"/>
        </w:rPr>
        <w:t xml:space="preserve"> and “even in the hair of a five month[-old] baby,” P-256 at 1, demonstrating that PCBs had escaped from products and didn’t naturally dissipate. They noted that PCBs and DDT were “equally poisonous,” and </w:t>
      </w:r>
      <w:r w:rsidRPr="00C43543">
        <w:rPr>
          <w:i/>
          <w:iCs/>
          <w:szCs w:val="28"/>
          <w:lang w:bidi="en-US"/>
          <w14:ligatures w14:val="standardContextual"/>
        </w:rPr>
        <w:t>“</w:t>
      </w:r>
      <w:r w:rsidRPr="00C43543">
        <w:rPr>
          <w:szCs w:val="28"/>
          <w:lang w:bidi="en-US"/>
          <w14:ligatures w14:val="standardContextual"/>
        </w:rPr>
        <w:t xml:space="preserve">PCB is equally harmful whether absorbed via the skin, through food, or by inhalation.” </w:t>
      </w:r>
      <w:r w:rsidRPr="00C43543">
        <w:rPr>
          <w:i/>
          <w:iCs/>
          <w:szCs w:val="28"/>
          <w:lang w:bidi="en-US"/>
          <w14:ligatures w14:val="standardContextual"/>
        </w:rPr>
        <w:t>Id.</w:t>
      </w:r>
      <w:r w:rsidRPr="00C43543">
        <w:rPr>
          <w:szCs w:val="28"/>
          <w:lang w:bidi="en-US"/>
          <w14:ligatures w14:val="standardContextual"/>
        </w:rPr>
        <w:t xml:space="preserve"> at 1-3. </w:t>
      </w:r>
      <w:r w:rsidRPr="00C43543">
        <w:rPr>
          <w:szCs w:val="28"/>
          <w14:ligatures w14:val="standardContextual"/>
        </w:rPr>
        <w:t>Their report</w:t>
      </w:r>
      <w:proofErr w:type="gramStart"/>
      <w:r w:rsidRPr="00C43543">
        <w:rPr>
          <w:szCs w:val="28"/>
          <w14:ligatures w14:val="standardContextual"/>
        </w:rPr>
        <w:t>—“</w:t>
      </w:r>
      <w:proofErr w:type="gramEnd"/>
      <w:r w:rsidRPr="00C43543">
        <w:rPr>
          <w:szCs w:val="28"/>
          <w14:ligatures w14:val="standardContextual"/>
        </w:rPr>
        <w:t xml:space="preserve">the first report of any possible environmental problem with PCB[s]”—was considered a “scientific breakthrough.” P-594 at 6. </w:t>
      </w:r>
    </w:p>
    <w:p w14:paraId="56251DAF" w14:textId="2D0F4766" w:rsidR="0015778B" w:rsidRPr="00C43543" w:rsidRDefault="0015778B" w:rsidP="0015778B">
      <w:pPr>
        <w:pStyle w:val="BodyText"/>
        <w:rPr>
          <w:szCs w:val="28"/>
          <w:lang w:bidi="en-US"/>
          <w14:ligatures w14:val="standardContextual"/>
        </w:rPr>
      </w:pPr>
      <w:r w:rsidRPr="00C43543">
        <w:rPr>
          <w:szCs w:val="28"/>
          <w:lang w:bidi="en-US"/>
          <w14:ligatures w14:val="standardContextual"/>
        </w:rPr>
        <w:t xml:space="preserve">But in St. Louis, it looked like an impending disaster. By this point, with profits soaring, Monsanto’s headquarters had moved from an old manufacturing plant downtown to a lush suburban campus, with modernist structures clad in Monsanto’s own plastics. Architectural Record 10 (Feb. 1956). The Swedish report prompted an “extensive meeting” by “the St. Louis individuals” in charge. P-265 at 1. They huddled in a boardroom of Monsanto’s sleek new </w:t>
      </w:r>
      <w:r w:rsidRPr="00C43543">
        <w:rPr>
          <w:szCs w:val="28"/>
          <w:lang w:bidi="en-US"/>
          <w14:ligatures w14:val="standardContextual"/>
        </w:rPr>
        <w:lastRenderedPageBreak/>
        <w:t xml:space="preserve">executive building—dubbed “The Kremlin” by insiders—to debate their next steps. Robin, </w:t>
      </w:r>
      <w:r w:rsidRPr="00C43543">
        <w:rPr>
          <w:i/>
          <w:iCs/>
          <w:szCs w:val="28"/>
          <w:lang w:bidi="en-US"/>
          <w14:ligatures w14:val="standardContextual"/>
        </w:rPr>
        <w:t>The World According to Monsanto</w:t>
      </w:r>
      <w:r w:rsidRPr="00C43543">
        <w:rPr>
          <w:szCs w:val="28"/>
          <w:lang w:bidi="en-US"/>
          <w14:ligatures w14:val="standardContextual"/>
        </w:rPr>
        <w:t xml:space="preserve"> 136 (2008)</w:t>
      </w:r>
      <w:r w:rsidR="00745D10" w:rsidRPr="00C43543">
        <w:rPr>
          <w:szCs w:val="28"/>
          <w:lang w:bidi="en-US"/>
          <w14:ligatures w14:val="standardContextual"/>
        </w:rPr>
        <w:fldChar w:fldCharType="begin"/>
      </w:r>
      <w:r w:rsidR="00745D10" w:rsidRPr="00C43543">
        <w:rPr>
          <w:szCs w:val="28"/>
          <w14:ligatures w14:val="standardContextual"/>
        </w:rPr>
        <w:instrText xml:space="preserve"> TA \l "</w:instrText>
      </w:r>
      <w:r w:rsidR="00745D10" w:rsidRPr="00C43543">
        <w:rPr>
          <w:szCs w:val="28"/>
          <w:lang w:bidi="en-US"/>
          <w14:ligatures w14:val="standardContextual"/>
        </w:rPr>
        <w:instrText xml:space="preserve">Robin, </w:instrText>
      </w:r>
      <w:r w:rsidR="00745D10" w:rsidRPr="00C43543">
        <w:rPr>
          <w:i/>
          <w:iCs/>
          <w:szCs w:val="28"/>
          <w:lang w:bidi="en-US"/>
          <w14:ligatures w14:val="standardContextual"/>
        </w:rPr>
        <w:instrText>The World According to Monsanto</w:instrText>
      </w:r>
      <w:r w:rsidR="00745D10" w:rsidRPr="00C43543">
        <w:rPr>
          <w:szCs w:val="28"/>
          <w:lang w:bidi="en-US"/>
          <w14:ligatures w14:val="standardContextual"/>
        </w:rPr>
        <w:instrText xml:space="preserve"> (2008)</w:instrText>
      </w:r>
      <w:r w:rsidR="00745D10" w:rsidRPr="00C43543">
        <w:rPr>
          <w:szCs w:val="28"/>
          <w14:ligatures w14:val="standardContextual"/>
        </w:rPr>
        <w:instrText xml:space="preserve">" \s "Robin, The World According to Monsanto 136 (2008)" \c 3 </w:instrText>
      </w:r>
      <w:r w:rsidR="00745D10" w:rsidRPr="00C43543">
        <w:rPr>
          <w:szCs w:val="28"/>
          <w:lang w:bidi="en-US"/>
          <w14:ligatures w14:val="standardContextual"/>
        </w:rPr>
        <w:fldChar w:fldCharType="end"/>
      </w:r>
      <w:r w:rsidRPr="00C43543">
        <w:rPr>
          <w:szCs w:val="28"/>
          <w:lang w:bidi="en-US"/>
          <w14:ligatures w14:val="standardContextual"/>
        </w:rPr>
        <w:t>.</w:t>
      </w:r>
    </w:p>
    <w:p w14:paraId="68F0AA1F" w14:textId="77777777" w:rsidR="0015778B" w:rsidRPr="00C43543" w:rsidRDefault="0015778B" w:rsidP="0015778B">
      <w:pPr>
        <w:pStyle w:val="BodyText"/>
        <w:rPr>
          <w:szCs w:val="28"/>
          <w:lang w:bidi="en-US"/>
          <w14:ligatures w14:val="standardContextual"/>
        </w:rPr>
      </w:pPr>
      <w:r w:rsidRPr="00C43543">
        <w:rPr>
          <w:szCs w:val="28"/>
          <w:lang w:bidi="en-US"/>
          <w14:ligatures w14:val="standardContextual"/>
        </w:rPr>
        <w:t xml:space="preserve">Within days of the meeting, Kelly penned a frantic memo to one of Monsanto’s European offices. “I have tried to call you for the last two days.” P-265 at 2. “The consensus in St. Louis,” he reported, “is that while Monsanto would like to keep in the background in this problem, we don’t know that we will be able to so in the United States.” </w:t>
      </w:r>
      <w:r w:rsidRPr="00C43543">
        <w:rPr>
          <w:i/>
          <w:iCs/>
          <w:szCs w:val="28"/>
          <w:lang w:bidi="en-US"/>
          <w14:ligatures w14:val="standardContextual"/>
        </w:rPr>
        <w:t>Id.</w:t>
      </w:r>
      <w:r w:rsidRPr="00C43543">
        <w:rPr>
          <w:szCs w:val="28"/>
          <w:lang w:bidi="en-US"/>
          <w14:ligatures w14:val="standardContextual"/>
        </w:rPr>
        <w:t xml:space="preserve"> The Monsanto brass were thus “very worried about what is liable to happen” when the “media pick up the subject.” </w:t>
      </w:r>
      <w:r w:rsidRPr="00C43543">
        <w:rPr>
          <w:i/>
          <w:iCs/>
          <w:szCs w:val="28"/>
          <w:lang w:bidi="en-US"/>
          <w14:ligatures w14:val="standardContextual"/>
        </w:rPr>
        <w:t>Id.</w:t>
      </w:r>
      <w:r w:rsidRPr="00C43543">
        <w:rPr>
          <w:szCs w:val="28"/>
          <w:lang w:bidi="en-US"/>
          <w14:ligatures w14:val="standardContextual"/>
        </w:rPr>
        <w:t xml:space="preserve"> Anticipating that customers would start to “ask us for some sort of data concerning the safety of these residues in humans,” Kelly ordered the office to hold off on answering. </w:t>
      </w:r>
      <w:r w:rsidRPr="00C43543">
        <w:rPr>
          <w:i/>
          <w:iCs/>
          <w:szCs w:val="28"/>
          <w:lang w:bidi="en-US"/>
          <w14:ligatures w14:val="standardContextual"/>
        </w:rPr>
        <w:t>Id.</w:t>
      </w:r>
      <w:r w:rsidRPr="00C43543">
        <w:rPr>
          <w:szCs w:val="28"/>
          <w:lang w:bidi="en-US"/>
          <w14:ligatures w14:val="standardContextual"/>
        </w:rPr>
        <w:t xml:space="preserve"> Otherwise, it “obviously might be opening the door to an extensive and quite expensive toxicological/pharmacological investigation.” </w:t>
      </w:r>
      <w:r w:rsidRPr="00C43543">
        <w:rPr>
          <w:i/>
          <w:iCs/>
          <w:szCs w:val="28"/>
          <w:lang w:bidi="en-US"/>
          <w14:ligatures w14:val="standardContextual"/>
        </w:rPr>
        <w:t>Id.</w:t>
      </w:r>
    </w:p>
    <w:p w14:paraId="73BB6883" w14:textId="6B1D3F61" w:rsidR="0015778B" w:rsidRPr="00C43543" w:rsidRDefault="0015778B" w:rsidP="0015778B">
      <w:pPr>
        <w:pStyle w:val="Heading3"/>
        <w:numPr>
          <w:ilvl w:val="3"/>
          <w:numId w:val="42"/>
        </w:numPr>
        <w:rPr>
          <w:rFonts w:ascii="Adobe Garamond Pro" w:hAnsi="Adobe Garamond Pro"/>
          <w14:ligatures w14:val="standardContextual"/>
        </w:rPr>
      </w:pPr>
      <w:bookmarkStart w:id="27" w:name="_Toc109728322"/>
      <w:r w:rsidRPr="00C43543">
        <w:rPr>
          <w:rFonts w:ascii="Adobe Garamond Pro" w:hAnsi="Adobe Garamond Pro"/>
          <w14:ligatures w14:val="standardContextual"/>
        </w:rPr>
        <w:t xml:space="preserve">“Sell the hell out of them as long as we can”: As the PCB crisis </w:t>
      </w:r>
      <w:r w:rsidR="003B6E73" w:rsidRPr="00C43543">
        <w:rPr>
          <w:rFonts w:ascii="Adobe Garamond Pro" w:hAnsi="Adobe Garamond Pro"/>
          <w14:ligatures w14:val="standardContextual"/>
        </w:rPr>
        <w:t>begins</w:t>
      </w:r>
      <w:r w:rsidRPr="00C43543">
        <w:rPr>
          <w:rFonts w:ascii="Adobe Garamond Pro" w:hAnsi="Adobe Garamond Pro"/>
          <w14:ligatures w14:val="standardContextual"/>
        </w:rPr>
        <w:t xml:space="preserve"> “snowballing,” Monsanto creates a special committee to protect its PCB business.</w:t>
      </w:r>
      <w:bookmarkEnd w:id="27"/>
    </w:p>
    <w:p w14:paraId="77A55017"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By 1969, Monsanto recognized that it was only “a matter of time until the regulatory agencies will be looking down our throats.” P-307 at 1; Tr. 777. A “major feature” appearing in the </w:t>
      </w:r>
      <w:r w:rsidRPr="00C43543">
        <w:rPr>
          <w:i/>
          <w:iCs/>
          <w:szCs w:val="28"/>
          <w14:ligatures w14:val="standardContextual"/>
        </w:rPr>
        <w:t>San Francisco Chronicle</w:t>
      </w:r>
      <w:r w:rsidRPr="00C43543">
        <w:rPr>
          <w:szCs w:val="28"/>
          <w14:ligatures w14:val="standardContextual"/>
        </w:rPr>
        <w:t xml:space="preserve"> about a “menacing new pollutant” only </w:t>
      </w:r>
      <w:r w:rsidRPr="00C43543">
        <w:rPr>
          <w:szCs w:val="28"/>
          <w14:ligatures w14:val="standardContextual"/>
        </w:rPr>
        <w:lastRenderedPageBreak/>
        <w:t xml:space="preserve">hastened the reckoning. P-308 at 1. A steady drumbeat of PCB-related findings continued into the summer, culminating in news that a 14-year-old had died after a PCB leak. P-594 at 7; </w:t>
      </w:r>
      <w:r w:rsidRPr="00C43543">
        <w:rPr>
          <w:i/>
          <w:iCs/>
          <w:szCs w:val="28"/>
          <w14:ligatures w14:val="standardContextual"/>
        </w:rPr>
        <w:t>see</w:t>
      </w:r>
      <w:r w:rsidRPr="00C43543">
        <w:rPr>
          <w:szCs w:val="28"/>
          <w14:ligatures w14:val="standardContextual"/>
        </w:rPr>
        <w:t xml:space="preserve"> P-653 at 57 (study finding “small amounts” of PCBs killed 18 of 25 animals in three weeks—a result Monsanto found “real alarming”).</w:t>
      </w:r>
    </w:p>
    <w:p w14:paraId="1BFE6EC7"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Now in crisis mode, Monsanto created a special </w:t>
      </w:r>
      <w:proofErr w:type="spellStart"/>
      <w:r w:rsidRPr="00C43543">
        <w:rPr>
          <w:szCs w:val="28"/>
          <w14:ligatures w14:val="standardContextual"/>
        </w:rPr>
        <w:t>Aroclor</w:t>
      </w:r>
      <w:proofErr w:type="spellEnd"/>
      <w:r w:rsidRPr="00C43543">
        <w:rPr>
          <w:szCs w:val="28"/>
          <w14:ligatures w14:val="standardContextual"/>
        </w:rPr>
        <w:t xml:space="preserve"> Ad Hoc Committee, chaired by Wheeler. It had two objectives: “Permit continued sales and profit of </w:t>
      </w:r>
      <w:proofErr w:type="spellStart"/>
      <w:r w:rsidRPr="00C43543">
        <w:rPr>
          <w:szCs w:val="28"/>
          <w14:ligatures w14:val="standardContextual"/>
        </w:rPr>
        <w:t>Aroclors</w:t>
      </w:r>
      <w:proofErr w:type="spellEnd"/>
      <w:r w:rsidRPr="00C43543">
        <w:rPr>
          <w:szCs w:val="28"/>
          <w14:ligatures w14:val="standardContextual"/>
        </w:rPr>
        <w:t xml:space="preserve">” and “Protect [Monsanto’s] image.” P-342 at 1. The committee knew that its task wouldn’t be easy. As one member jotted in his notes: “Subject is snowballing. Where do we go from here?” P-341 at 5. </w:t>
      </w:r>
    </w:p>
    <w:p w14:paraId="0AEC9BD7" w14:textId="6DAFBD12" w:rsidR="0015778B" w:rsidRPr="00C43543" w:rsidRDefault="0015778B" w:rsidP="0015778B">
      <w:pPr>
        <w:pStyle w:val="BodyText"/>
        <w:rPr>
          <w:szCs w:val="28"/>
          <w14:ligatures w14:val="standardContextual"/>
        </w:rPr>
      </w:pPr>
      <w:r w:rsidRPr="00C43543">
        <w:rPr>
          <w:szCs w:val="28"/>
          <w14:ligatures w14:val="standardContextual"/>
        </w:rPr>
        <w:t xml:space="preserve">The committee prepared a report to answer that question. It concluded that “the identification of PCBs as an environmental contaminant is certain” and that “PCB[s] are ‘moderately’ toxic to man.” P-350 at 7, 25. It also concluded that PCBs “are persistent once they become a part of the environment and the rate of degradation is extremely low.” </w:t>
      </w:r>
      <w:r w:rsidRPr="00C43543">
        <w:rPr>
          <w:i/>
          <w:iCs/>
          <w:szCs w:val="28"/>
          <w14:ligatures w14:val="standardContextual"/>
        </w:rPr>
        <w:t>Id.</w:t>
      </w:r>
      <w:r w:rsidRPr="00C43543">
        <w:rPr>
          <w:szCs w:val="28"/>
          <w14:ligatures w14:val="standardContextual"/>
        </w:rPr>
        <w:t xml:space="preserve"> Nevertheless, the committee didn’t recommend that Monsanto stop PCB sales, which “had grown more than 464 percent” since 1960, Elmore, </w:t>
      </w:r>
      <w:r w:rsidRPr="00C43543">
        <w:rPr>
          <w:i/>
          <w:iCs/>
          <w:szCs w:val="28"/>
          <w14:ligatures w14:val="standardContextual"/>
        </w:rPr>
        <w:t>Seed Money</w:t>
      </w:r>
      <w:r w:rsidRPr="00C43543">
        <w:rPr>
          <w:szCs w:val="28"/>
          <w14:ligatures w14:val="standardContextual"/>
        </w:rPr>
        <w:t xml:space="preserve"> 114 (2021)</w:t>
      </w:r>
      <w:r w:rsidR="00745D10" w:rsidRPr="00C43543">
        <w:rPr>
          <w:szCs w:val="28"/>
          <w14:ligatures w14:val="standardContextual"/>
        </w:rPr>
        <w:fldChar w:fldCharType="begin"/>
      </w:r>
      <w:r w:rsidR="00745D10" w:rsidRPr="00C43543">
        <w:rPr>
          <w:szCs w:val="28"/>
          <w14:ligatures w14:val="standardContextual"/>
        </w:rPr>
        <w:instrText xml:space="preserve"> TA \l "</w:instrText>
      </w:r>
      <w:r w:rsidR="00475B4F" w:rsidRPr="00C43543">
        <w:rPr>
          <w:szCs w:val="28"/>
          <w14:ligatures w14:val="standardContextual"/>
        </w:rPr>
        <w:instrText>E</w:instrText>
      </w:r>
      <w:r w:rsidR="00745D10" w:rsidRPr="00C43543">
        <w:rPr>
          <w:szCs w:val="28"/>
          <w14:ligatures w14:val="standardContextual"/>
        </w:rPr>
        <w:instrText xml:space="preserve">lmore, </w:instrText>
      </w:r>
      <w:r w:rsidR="00745D10" w:rsidRPr="00C43543">
        <w:rPr>
          <w:i/>
          <w:iCs/>
          <w:szCs w:val="28"/>
          <w14:ligatures w14:val="standardContextual"/>
        </w:rPr>
        <w:instrText>Seed Money</w:instrText>
      </w:r>
      <w:r w:rsidR="00745D10" w:rsidRPr="00C43543">
        <w:rPr>
          <w:szCs w:val="28"/>
          <w14:ligatures w14:val="standardContextual"/>
        </w:rPr>
        <w:instrText xml:space="preserve"> (2021)" \s "lmore, Seed Money 114 (2021)" \c 3 </w:instrText>
      </w:r>
      <w:r w:rsidR="00745D10" w:rsidRPr="00C43543">
        <w:rPr>
          <w:szCs w:val="28"/>
          <w14:ligatures w14:val="standardContextual"/>
        </w:rPr>
        <w:fldChar w:fldCharType="end"/>
      </w:r>
      <w:r w:rsidRPr="00C43543">
        <w:rPr>
          <w:szCs w:val="28"/>
          <w14:ligatures w14:val="standardContextual"/>
        </w:rPr>
        <w:t>—mostly from “electrical applications</w:t>
      </w:r>
      <w:r w:rsidR="00DA4E99" w:rsidRPr="00C43543">
        <w:rPr>
          <w:szCs w:val="28"/>
          <w14:ligatures w14:val="standardContextual"/>
        </w:rPr>
        <w:t>,</w:t>
      </w:r>
      <w:r w:rsidRPr="00C43543">
        <w:rPr>
          <w:szCs w:val="28"/>
          <w14:ligatures w14:val="standardContextual"/>
        </w:rPr>
        <w:t xml:space="preserve">” Tr. 1581-82. Instead, </w:t>
      </w:r>
      <w:r w:rsidRPr="00C43543">
        <w:rPr>
          <w:szCs w:val="28"/>
          <w14:ligatures w14:val="standardContextual"/>
        </w:rPr>
        <w:lastRenderedPageBreak/>
        <w:t>the committee settled on a recommendation more in line with a different option discussed at the meeting: “sell the hell out of them for as long as we can.”</w:t>
      </w:r>
      <w:r w:rsidRPr="00C43543">
        <w:rPr>
          <w:i/>
          <w:iCs/>
          <w:szCs w:val="28"/>
          <w14:ligatures w14:val="standardContextual"/>
        </w:rPr>
        <w:t xml:space="preserve"> Id.</w:t>
      </w:r>
    </w:p>
    <w:p w14:paraId="32234EE3"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28" w:name="_Toc109728323"/>
      <w:r w:rsidRPr="00C43543">
        <w:rPr>
          <w:rFonts w:ascii="Adobe Garamond Pro" w:hAnsi="Adobe Garamond Pro"/>
          <w14:ligatures w14:val="standardContextual"/>
        </w:rPr>
        <w:t>“Selfishly too much Monsanto profit to go out”: Monsanto fights to continue PCB sales.</w:t>
      </w:r>
      <w:bookmarkEnd w:id="28"/>
      <w:r w:rsidRPr="00C43543">
        <w:rPr>
          <w:rFonts w:ascii="Adobe Garamond Pro" w:hAnsi="Adobe Garamond Pro"/>
          <w14:ligatures w14:val="standardContextual"/>
        </w:rPr>
        <w:t xml:space="preserve"> </w:t>
      </w:r>
    </w:p>
    <w:p w14:paraId="0F9634C2" w14:textId="77777777" w:rsidR="0015778B" w:rsidRPr="00C43543" w:rsidRDefault="0015778B" w:rsidP="0015778B">
      <w:pPr>
        <w:pStyle w:val="BodyText"/>
        <w:rPr>
          <w:szCs w:val="28"/>
          <w14:ligatures w14:val="standardContextual"/>
        </w:rPr>
      </w:pPr>
      <w:r w:rsidRPr="00C43543">
        <w:rPr>
          <w:szCs w:val="28"/>
          <w14:ligatures w14:val="standardContextual"/>
        </w:rPr>
        <w:t>Wheeler presented the committee’s recommendations to Monsanto’s top executives. P-360. He informed them that the company faced significant legal risk because “[a]</w:t>
      </w:r>
      <w:proofErr w:type="spellStart"/>
      <w:r w:rsidRPr="00C43543">
        <w:rPr>
          <w:szCs w:val="28"/>
          <w14:ligatures w14:val="standardContextual"/>
        </w:rPr>
        <w:t>ll</w:t>
      </w:r>
      <w:proofErr w:type="spellEnd"/>
      <w:r w:rsidRPr="00C43543">
        <w:rPr>
          <w:szCs w:val="28"/>
          <w14:ligatures w14:val="standardContextual"/>
        </w:rPr>
        <w:t xml:space="preserve"> customers using these products have not been officially notified about known effects nor do our labels carry this information.” P-359 at 9. But he also explained that the committee did not recommend pulling out of PCBs altogether because there’s “selfishly too much Monsanto profit to go out.” P-360</w:t>
      </w:r>
      <w:r w:rsidRPr="00C43543">
        <w:rPr>
          <w:i/>
          <w:iCs/>
          <w:szCs w:val="28"/>
          <w14:ligatures w14:val="standardContextual"/>
        </w:rPr>
        <w:t xml:space="preserve"> </w:t>
      </w:r>
      <w:r w:rsidRPr="00C43543">
        <w:rPr>
          <w:szCs w:val="28"/>
          <w14:ligatures w14:val="standardContextual"/>
        </w:rPr>
        <w:t xml:space="preserve">at 49. Rather, Monsanto could “phase out” only the very worst PCBs and “maximize the corporate image by publicizing this act.” </w:t>
      </w:r>
      <w:r w:rsidRPr="00C43543">
        <w:rPr>
          <w:i/>
          <w:iCs/>
          <w:szCs w:val="28"/>
          <w14:ligatures w14:val="standardContextual"/>
        </w:rPr>
        <w:t>Id.</w:t>
      </w:r>
      <w:r w:rsidRPr="00C43543">
        <w:rPr>
          <w:szCs w:val="28"/>
          <w14:ligatures w14:val="standardContextual"/>
        </w:rPr>
        <w:t xml:space="preserve"> at 15. Monsanto’s lead executives agreed.</w:t>
      </w:r>
    </w:p>
    <w:p w14:paraId="1072A53C" w14:textId="20FEE58A" w:rsidR="0015778B" w:rsidRPr="00C43543" w:rsidRDefault="0015778B" w:rsidP="0015778B">
      <w:pPr>
        <w:pStyle w:val="BodyText"/>
        <w:rPr>
          <w:szCs w:val="28"/>
          <w14:ligatures w14:val="standardContextual"/>
        </w:rPr>
      </w:pPr>
      <w:r w:rsidRPr="00C43543">
        <w:rPr>
          <w:szCs w:val="28"/>
          <w14:ligatures w14:val="standardContextual"/>
        </w:rPr>
        <w:t xml:space="preserve">Outwardly, Monsanto continued to insist that PCBs were safe. Not long after the report, it published a letter in </w:t>
      </w:r>
      <w:r w:rsidRPr="00C43543">
        <w:rPr>
          <w:i/>
          <w:iCs/>
          <w:szCs w:val="28"/>
          <w14:ligatures w14:val="standardContextual"/>
        </w:rPr>
        <w:t xml:space="preserve">Environmental Magazine </w:t>
      </w:r>
      <w:r w:rsidRPr="00C43543">
        <w:rPr>
          <w:szCs w:val="28"/>
          <w14:ligatures w14:val="standardContextual"/>
        </w:rPr>
        <w:t>claiming that there had been “no instances” of adverse effects from PCBs and that it was “not true” that PCBs were toxic, P-3675—claims that Monsanto knew were false</w:t>
      </w:r>
      <w:r w:rsidR="00DA4E99" w:rsidRPr="00C43543">
        <w:rPr>
          <w:szCs w:val="28"/>
          <w14:ligatures w14:val="standardContextual"/>
        </w:rPr>
        <w:t>,</w:t>
      </w:r>
      <w:r w:rsidRPr="00C43543">
        <w:rPr>
          <w:szCs w:val="28"/>
          <w14:ligatures w14:val="standardContextual"/>
        </w:rPr>
        <w:t xml:space="preserve"> Tr. 772.</w:t>
      </w:r>
    </w:p>
    <w:p w14:paraId="1939AF76"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29" w:name="_Toc109728324"/>
      <w:r w:rsidRPr="00C43543">
        <w:rPr>
          <w:rFonts w:ascii="Adobe Garamond Pro" w:hAnsi="Adobe Garamond Pro"/>
          <w14:ligatures w14:val="standardContextual"/>
        </w:rPr>
        <w:lastRenderedPageBreak/>
        <w:t>“Call back all those reports and burn them”: Monsanto orders the destruction of documents related to PCBs.</w:t>
      </w:r>
      <w:bookmarkEnd w:id="29"/>
    </w:p>
    <w:p w14:paraId="550D1257" w14:textId="246CDD34" w:rsidR="0015778B" w:rsidRPr="00C43543" w:rsidRDefault="0015778B" w:rsidP="0015778B">
      <w:pPr>
        <w:pStyle w:val="BodyText"/>
        <w:rPr>
          <w:szCs w:val="28"/>
          <w14:ligatures w14:val="standardContextual"/>
        </w:rPr>
      </w:pPr>
      <w:r w:rsidRPr="00C43543">
        <w:rPr>
          <w:szCs w:val="28"/>
          <w14:ligatures w14:val="standardContextual"/>
        </w:rPr>
        <w:t>When Monsanto’s legal department got wind that much of the company’s “knowledge about PCB’s [was now] in a document”—the committee report—it sprang into action. P-653 at 59. A Monsanto lawyer picked up the phone, dialed Wheeler, and ordered: “</w:t>
      </w:r>
      <w:r w:rsidR="00E565F6">
        <w:rPr>
          <w:szCs w:val="28"/>
          <w14:ligatures w14:val="standardContextual"/>
        </w:rPr>
        <w:t>c</w:t>
      </w:r>
      <w:r w:rsidRPr="00C43543">
        <w:rPr>
          <w:szCs w:val="28"/>
          <w14:ligatures w14:val="standardContextual"/>
        </w:rPr>
        <w:t xml:space="preserve">all back all of those reports and burn them.” </w:t>
      </w:r>
      <w:r w:rsidRPr="00C43543">
        <w:rPr>
          <w:i/>
          <w:iCs/>
          <w:szCs w:val="28"/>
          <w14:ligatures w14:val="standardContextual"/>
        </w:rPr>
        <w:t>Id.</w:t>
      </w:r>
    </w:p>
    <w:p w14:paraId="71857097" w14:textId="77777777" w:rsidR="0015778B" w:rsidRPr="00C43543" w:rsidRDefault="0015778B" w:rsidP="0015778B">
      <w:pPr>
        <w:pStyle w:val="BodyText"/>
        <w:rPr>
          <w:szCs w:val="28"/>
          <w14:ligatures w14:val="standardContextual"/>
        </w:rPr>
      </w:pPr>
      <w:r w:rsidRPr="00C43543">
        <w:rPr>
          <w:szCs w:val="28"/>
          <w14:ligatures w14:val="standardContextual"/>
        </w:rPr>
        <w:t>From here on out, the legal department would keep a close eye on Monsanto’s PCB paper trail. It directed Wheeler to label the report “ATTORNEY CLIENT PRIVILEGE” before allowing him to “</w:t>
      </w:r>
      <w:proofErr w:type="gramStart"/>
      <w:r w:rsidRPr="00C43543">
        <w:rPr>
          <w:szCs w:val="28"/>
          <w14:ligatures w14:val="standardContextual"/>
        </w:rPr>
        <w:t>redistribute[</w:t>
      </w:r>
      <w:proofErr w:type="gramEnd"/>
      <w:r w:rsidRPr="00C43543">
        <w:rPr>
          <w:szCs w:val="28"/>
          <w14:ligatures w14:val="standardContextual"/>
        </w:rPr>
        <w:t xml:space="preserve">]” it to “12 people.” </w:t>
      </w:r>
      <w:r w:rsidRPr="00C43543">
        <w:rPr>
          <w:i/>
          <w:iCs/>
          <w:szCs w:val="28"/>
          <w14:ligatures w14:val="standardContextual"/>
        </w:rPr>
        <w:t>Id.</w:t>
      </w:r>
      <w:r w:rsidRPr="00C43543">
        <w:rPr>
          <w:szCs w:val="28"/>
          <w14:ligatures w14:val="standardContextual"/>
        </w:rPr>
        <w:t xml:space="preserve"> It then produced a memo instructing that any documents about PCBs “should be carefully audited from a legal and medical point of view and those which are not helpful in a defense of PCB litigation should not be preserved (except as part of the attorney’s work product in the defense of a case), since such documents would be subject to discovery.” P-594 at 35; Tr. 1589. Monsanto would reissue these instructions to destroy unfavorable evidence twice more, in 1977 and 1981. Tr. 609, 1589.</w:t>
      </w:r>
    </w:p>
    <w:p w14:paraId="273D3AA8"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0" w:name="_Toc109728325"/>
      <w:r w:rsidRPr="00C43543">
        <w:rPr>
          <w:rFonts w:ascii="Adobe Garamond Pro" w:hAnsi="Adobe Garamond Pro"/>
          <w14:ligatures w14:val="standardContextual"/>
        </w:rPr>
        <w:lastRenderedPageBreak/>
        <w:t>“We can’t afford to lose one dollar of business”: Monsanto urges its sales force to “take the offense” and increase PCB sales in 1970.</w:t>
      </w:r>
      <w:bookmarkEnd w:id="30"/>
    </w:p>
    <w:p w14:paraId="730004C9" w14:textId="1A6EC3EE" w:rsidR="0015778B" w:rsidRPr="00C43543" w:rsidRDefault="0015778B" w:rsidP="0015778B">
      <w:pPr>
        <w:pStyle w:val="BodyText"/>
        <w:rPr>
          <w:szCs w:val="28"/>
          <w14:ligatures w14:val="standardContextual"/>
        </w:rPr>
      </w:pPr>
      <w:r w:rsidRPr="00C43543">
        <w:rPr>
          <w:szCs w:val="28"/>
          <w14:ligatures w14:val="standardContextual"/>
        </w:rPr>
        <w:t xml:space="preserve">In early 1970, around the time that employees were ordered to “burn” PCB evidence, Monsanto convened a two-day “St. Louis Meeting with General Electric” entitled “PCB-Pollution Problem.” </w:t>
      </w:r>
      <w:r w:rsidR="00FD19F3" w:rsidRPr="00C43543">
        <w:rPr>
          <w:szCs w:val="28"/>
          <w14:ligatures w14:val="standardContextual"/>
        </w:rPr>
        <w:t>CP 19576</w:t>
      </w:r>
      <w:r w:rsidRPr="00C43543">
        <w:rPr>
          <w:szCs w:val="28"/>
          <w14:ligatures w14:val="standardContextual"/>
        </w:rPr>
        <w:t>. In a memo for the meeting, Monsanto admitted that PCB toxicity data was “not as favorable as we had hoped,” and in fact was “[p]</w:t>
      </w:r>
      <w:proofErr w:type="spellStart"/>
      <w:r w:rsidRPr="00C43543">
        <w:rPr>
          <w:szCs w:val="28"/>
          <w14:ligatures w14:val="standardContextual"/>
        </w:rPr>
        <w:t>articularly</w:t>
      </w:r>
      <w:proofErr w:type="spellEnd"/>
      <w:r w:rsidRPr="00C43543">
        <w:rPr>
          <w:szCs w:val="28"/>
          <w14:ligatures w14:val="standardContextual"/>
        </w:rPr>
        <w:t xml:space="preserve"> alarming.” </w:t>
      </w:r>
      <w:r w:rsidR="00FD19F3" w:rsidRPr="00C43543">
        <w:rPr>
          <w:szCs w:val="28"/>
          <w14:ligatures w14:val="standardContextual"/>
        </w:rPr>
        <w:t>CP 19577</w:t>
      </w:r>
      <w:r w:rsidRPr="00C43543">
        <w:rPr>
          <w:szCs w:val="28"/>
          <w14:ligatures w14:val="standardContextual"/>
        </w:rPr>
        <w:t xml:space="preserve">. But Monsanto gave assurances that it would attempt to make the science conform to its bottom line. “Some of the studies,” it said, “will be repeated to arrive at better conclusions.” </w:t>
      </w:r>
      <w:r w:rsidR="00CD29C4" w:rsidRPr="00C43543">
        <w:rPr>
          <w:szCs w:val="28"/>
          <w14:ligatures w14:val="standardContextual"/>
        </w:rPr>
        <w:t>CP 19577</w:t>
      </w:r>
      <w:r w:rsidRPr="00C43543">
        <w:rPr>
          <w:i/>
          <w:iCs/>
          <w:szCs w:val="28"/>
          <w14:ligatures w14:val="standardContextual"/>
        </w:rPr>
        <w:t>.</w:t>
      </w:r>
      <w:r w:rsidRPr="00C43543">
        <w:rPr>
          <w:rStyle w:val="FootnoteReference"/>
          <w:szCs w:val="28"/>
          <w14:ligatures w14:val="standardContextual"/>
        </w:rPr>
        <w:footnoteReference w:id="2"/>
      </w:r>
    </w:p>
    <w:p w14:paraId="62C49757" w14:textId="77777777" w:rsidR="0015778B" w:rsidRPr="00C43543" w:rsidRDefault="0015778B" w:rsidP="0015778B">
      <w:pPr>
        <w:pStyle w:val="BodyText"/>
        <w:rPr>
          <w:szCs w:val="28"/>
          <w14:ligatures w14:val="standardContextual"/>
        </w:rPr>
      </w:pPr>
      <w:r w:rsidRPr="00C43543">
        <w:rPr>
          <w:szCs w:val="28"/>
          <w14:ligatures w14:val="standardContextual"/>
        </w:rPr>
        <w:tab/>
        <w:t>Wheeler said the same to a colleague in Europe a week later. PCB testing had showed a “greater degree of toxicity” than hoped</w:t>
      </w:r>
      <w:proofErr w:type="gramStart"/>
      <w:r w:rsidRPr="00C43543">
        <w:rPr>
          <w:szCs w:val="28"/>
          <w14:ligatures w14:val="standardContextual"/>
        </w:rPr>
        <w:t>—“</w:t>
      </w:r>
      <w:proofErr w:type="gramEnd"/>
      <w:r w:rsidRPr="00C43543">
        <w:rPr>
          <w:szCs w:val="28"/>
          <w14:ligatures w14:val="standardContextual"/>
        </w:rPr>
        <w:t xml:space="preserve">about the same as DDT in animals.” P-380 at 1. And the medical </w:t>
      </w:r>
      <w:r w:rsidRPr="00C43543">
        <w:rPr>
          <w:szCs w:val="28"/>
          <w14:ligatures w14:val="standardContextual"/>
        </w:rPr>
        <w:lastRenderedPageBreak/>
        <w:t xml:space="preserve">department was in possession of even “more discouraging” results, which they would be “repeating” and “not distributing.” </w:t>
      </w:r>
      <w:r w:rsidRPr="00C43543">
        <w:rPr>
          <w:i/>
          <w:iCs/>
          <w:szCs w:val="28"/>
          <w14:ligatures w14:val="standardContextual"/>
        </w:rPr>
        <w:t>Id.</w:t>
      </w:r>
      <w:r w:rsidRPr="00C43543">
        <w:rPr>
          <w:szCs w:val="28"/>
          <w14:ligatures w14:val="standardContextual"/>
        </w:rPr>
        <w:t xml:space="preserve"> </w:t>
      </w:r>
    </w:p>
    <w:p w14:paraId="2AEEDC6B" w14:textId="3ADD23AE" w:rsidR="0015778B" w:rsidRPr="00C43543" w:rsidRDefault="0015778B" w:rsidP="0015778B">
      <w:pPr>
        <w:pStyle w:val="BodyText"/>
        <w:rPr>
          <w:szCs w:val="28"/>
          <w14:ligatures w14:val="standardContextual"/>
        </w:rPr>
      </w:pPr>
      <w:r w:rsidRPr="00C43543">
        <w:rPr>
          <w:szCs w:val="28"/>
          <w14:ligatures w14:val="standardContextual"/>
        </w:rPr>
        <w:t xml:space="preserve">Monsanto’s marketing head then issued a directive to his sales force: “We can’t afford to lose one dollar of business.” P-384 at 2. “Our </w:t>
      </w:r>
      <w:proofErr w:type="spellStart"/>
      <w:r w:rsidRPr="00C43543">
        <w:rPr>
          <w:szCs w:val="28"/>
          <w14:ligatures w14:val="standardContextual"/>
        </w:rPr>
        <w:t>Aroclor</w:t>
      </w:r>
      <w:proofErr w:type="spellEnd"/>
      <w:r w:rsidRPr="00C43543">
        <w:rPr>
          <w:szCs w:val="28"/>
          <w14:ligatures w14:val="standardContextual"/>
        </w:rPr>
        <w:t xml:space="preserve"> sales have increased every year for ten years,” and “[w]e </w:t>
      </w:r>
      <w:proofErr w:type="gramStart"/>
      <w:r w:rsidRPr="00C43543">
        <w:rPr>
          <w:szCs w:val="28"/>
          <w14:ligatures w14:val="standardContextual"/>
        </w:rPr>
        <w:t>want</w:t>
      </w:r>
      <w:proofErr w:type="gramEnd"/>
      <w:r w:rsidRPr="00C43543">
        <w:rPr>
          <w:szCs w:val="28"/>
          <w14:ligatures w14:val="standardContextual"/>
        </w:rPr>
        <w:t xml:space="preserve"> 1970 to be no different.” P-383 at 10. </w:t>
      </w:r>
      <w:proofErr w:type="gramStart"/>
      <w:r w:rsidRPr="00C43543">
        <w:rPr>
          <w:szCs w:val="28"/>
          <w14:ligatures w14:val="standardContextual"/>
        </w:rPr>
        <w:t>So</w:t>
      </w:r>
      <w:proofErr w:type="gramEnd"/>
      <w:r w:rsidRPr="00C43543">
        <w:rPr>
          <w:szCs w:val="28"/>
          <w14:ligatures w14:val="standardContextual"/>
        </w:rPr>
        <w:t xml:space="preserve"> if a customer asks about PCBs, “[t]</w:t>
      </w:r>
      <w:proofErr w:type="spellStart"/>
      <w:r w:rsidRPr="00C43543">
        <w:rPr>
          <w:szCs w:val="28"/>
          <w14:ligatures w14:val="standardContextual"/>
        </w:rPr>
        <w:t>ake</w:t>
      </w:r>
      <w:proofErr w:type="spellEnd"/>
      <w:r w:rsidRPr="00C43543">
        <w:rPr>
          <w:szCs w:val="28"/>
          <w14:ligatures w14:val="standardContextual"/>
        </w:rPr>
        <w:t xml:space="preserve"> the offense.” P-384 at 2. </w:t>
      </w:r>
      <w:proofErr w:type="gramStart"/>
      <w:r w:rsidRPr="00C43543">
        <w:rPr>
          <w:szCs w:val="28"/>
          <w14:ligatures w14:val="standardContextual"/>
        </w:rPr>
        <w:t>But,</w:t>
      </w:r>
      <w:proofErr w:type="gramEnd"/>
      <w:r w:rsidRPr="00C43543">
        <w:rPr>
          <w:szCs w:val="28"/>
          <w14:ligatures w14:val="standardContextual"/>
        </w:rPr>
        <w:t xml:space="preserve"> he was quick to add, “no answers should be given in writing.” </w:t>
      </w:r>
      <w:r w:rsidRPr="00C43543">
        <w:rPr>
          <w:i/>
          <w:iCs/>
          <w:szCs w:val="28"/>
          <w14:ligatures w14:val="standardContextual"/>
        </w:rPr>
        <w:t>Id.</w:t>
      </w:r>
      <w:r w:rsidRPr="00C43543">
        <w:rPr>
          <w:szCs w:val="28"/>
          <w14:ligatures w14:val="standardContextual"/>
        </w:rPr>
        <w:t xml:space="preserve"> Sales associates were informed that a letter “cleared by our Legal Department” was being “mailed from St. Louis” to distributors, but that Monsanto would not “alert our distributors’ customers.” P-383 at 2-3. The point of the letter was not to ensure </w:t>
      </w:r>
      <w:r w:rsidR="00191AF1">
        <w:rPr>
          <w:szCs w:val="28"/>
          <w14:ligatures w14:val="standardContextual"/>
        </w:rPr>
        <w:t xml:space="preserve">not </w:t>
      </w:r>
      <w:r w:rsidRPr="00C43543">
        <w:rPr>
          <w:szCs w:val="28"/>
          <w14:ligatures w14:val="standardContextual"/>
        </w:rPr>
        <w:t>that warnings were issued to consumers—only that they were “fully documented” to “support” a defense “should we become involved in legal actions.” P-463 at 1.</w:t>
      </w:r>
    </w:p>
    <w:p w14:paraId="288AB95B" w14:textId="7FC5F92D" w:rsidR="0015778B" w:rsidRPr="00C43543" w:rsidRDefault="0015778B" w:rsidP="0015778B">
      <w:pPr>
        <w:pStyle w:val="BodyText"/>
        <w:rPr>
          <w:szCs w:val="28"/>
          <w14:ligatures w14:val="standardContextual"/>
        </w:rPr>
      </w:pPr>
      <w:r w:rsidRPr="00C43543">
        <w:rPr>
          <w:szCs w:val="28"/>
          <w14:ligatures w14:val="standardContextual"/>
        </w:rPr>
        <w:t xml:space="preserve">This strategy defined Monsanto’s approach to its PCB business for the duration of its existence. Seeking to create the impression </w:t>
      </w:r>
      <w:r w:rsidR="00144770" w:rsidRPr="00C43543">
        <w:rPr>
          <w:szCs w:val="28"/>
          <w14:ligatures w14:val="standardContextual"/>
        </w:rPr>
        <w:t>that it was being proactive,</w:t>
      </w:r>
      <w:r w:rsidRPr="00C43543">
        <w:rPr>
          <w:szCs w:val="28"/>
          <w14:ligatures w14:val="standardContextual"/>
        </w:rPr>
        <w:t xml:space="preserve"> Monsanto began selling PCBs only in “closed systems” that would, in theory, prevent the chemical from escaping. </w:t>
      </w:r>
      <w:r w:rsidR="00144770" w:rsidRPr="00C43543">
        <w:rPr>
          <w:szCs w:val="28"/>
          <w14:ligatures w14:val="standardContextual"/>
        </w:rPr>
        <w:t xml:space="preserve">P-437. </w:t>
      </w:r>
      <w:r w:rsidRPr="00C43543">
        <w:rPr>
          <w:szCs w:val="28"/>
          <w14:ligatures w14:val="standardContextual"/>
        </w:rPr>
        <w:t xml:space="preserve">It treated capacitors in light ballasts as one such </w:t>
      </w:r>
      <w:r w:rsidRPr="00C43543">
        <w:rPr>
          <w:szCs w:val="28"/>
          <w14:ligatures w14:val="standardContextual"/>
        </w:rPr>
        <w:lastRenderedPageBreak/>
        <w:t>use, even though it knew that “[d]</w:t>
      </w:r>
      <w:proofErr w:type="spellStart"/>
      <w:r w:rsidRPr="00C43543">
        <w:rPr>
          <w:szCs w:val="28"/>
          <w14:ligatures w14:val="standardContextual"/>
        </w:rPr>
        <w:t>isposal</w:t>
      </w:r>
      <w:proofErr w:type="spellEnd"/>
      <w:r w:rsidRPr="00C43543">
        <w:rPr>
          <w:szCs w:val="28"/>
          <w14:ligatures w14:val="standardContextual"/>
        </w:rPr>
        <w:t xml:space="preserve"> of old capacitors”—which all new capacitors eventually become</w:t>
      </w:r>
      <w:proofErr w:type="gramStart"/>
      <w:r w:rsidRPr="00C43543">
        <w:rPr>
          <w:szCs w:val="28"/>
          <w14:ligatures w14:val="standardContextual"/>
        </w:rPr>
        <w:t>—“</w:t>
      </w:r>
      <w:proofErr w:type="gramEnd"/>
      <w:r w:rsidRPr="00C43543">
        <w:rPr>
          <w:szCs w:val="28"/>
          <w14:ligatures w14:val="standardContextual"/>
        </w:rPr>
        <w:t>presents a problem.” P-15 at 20.</w:t>
      </w:r>
      <w:r w:rsidRPr="00C43543">
        <w:rPr>
          <w:rStyle w:val="FootnoteReference"/>
          <w:szCs w:val="28"/>
          <w14:ligatures w14:val="standardContextual"/>
        </w:rPr>
        <w:footnoteReference w:id="3"/>
      </w:r>
      <w:r w:rsidRPr="00C43543">
        <w:rPr>
          <w:szCs w:val="28"/>
          <w14:ligatures w14:val="standardContextual"/>
        </w:rPr>
        <w:t xml:space="preserve"> All the while, Monsanto even continued to develop new variations of PCBs, while rushing to get them to market by taking a familiar shortcut. P-2823 (“No chronic (</w:t>
      </w:r>
      <w:proofErr w:type="gramStart"/>
      <w:r w:rsidRPr="00C43543">
        <w:rPr>
          <w:szCs w:val="28"/>
          <w14:ligatures w14:val="standardContextual"/>
        </w:rPr>
        <w:t>two year</w:t>
      </w:r>
      <w:proofErr w:type="gramEnd"/>
      <w:r w:rsidRPr="00C43543">
        <w:rPr>
          <w:szCs w:val="28"/>
          <w14:ligatures w14:val="standardContextual"/>
        </w:rPr>
        <w:t xml:space="preserve"> studies) would be anticipated.”). </w:t>
      </w:r>
    </w:p>
    <w:p w14:paraId="6CF5B2A5"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1" w:name="_Toc109728326"/>
      <w:r w:rsidRPr="00C43543">
        <w:rPr>
          <w:rFonts w:ascii="Adobe Garamond Pro" w:hAnsi="Adobe Garamond Pro"/>
          <w14:ligatures w14:val="standardContextual"/>
        </w:rPr>
        <w:t>“An embarrassing fact”: Monsanto exaggerates the benefits of PCBs.</w:t>
      </w:r>
      <w:bookmarkEnd w:id="31"/>
    </w:p>
    <w:p w14:paraId="28D354EF" w14:textId="3E290320" w:rsidR="0015778B" w:rsidRPr="00C43543" w:rsidRDefault="0015778B" w:rsidP="0015778B">
      <w:pPr>
        <w:pStyle w:val="BodyText"/>
        <w:rPr>
          <w:szCs w:val="28"/>
          <w14:ligatures w14:val="standardContextual"/>
        </w:rPr>
      </w:pPr>
      <w:r w:rsidRPr="00C43543">
        <w:rPr>
          <w:szCs w:val="28"/>
          <w14:ligatures w14:val="standardContextual"/>
        </w:rPr>
        <w:t>Before long, William Papageorge was tapped to be the new “point person within Monsanto on PCB issues.” Tr. 518-19. He told the EPA in 1973 that Monsanto had stopped selling PCBs for most uses, just not for transformers and capacitors. P-3513 at 3. Those uses drove most of Monsanto’s PCB sales, P-155 at 6, but its stated reason for continuing them was that there were “no known substitutes of acceptable quality and none that are fire resistant</w:t>
      </w:r>
      <w:r w:rsidR="00D928ED" w:rsidRPr="00C43543">
        <w:rPr>
          <w:szCs w:val="28"/>
          <w14:ligatures w14:val="standardContextual"/>
        </w:rPr>
        <w:t>,</w:t>
      </w:r>
      <w:r w:rsidRPr="00C43543">
        <w:rPr>
          <w:szCs w:val="28"/>
          <w14:ligatures w14:val="standardContextual"/>
        </w:rPr>
        <w:t xml:space="preserve">” P-3513 at 3. </w:t>
      </w:r>
    </w:p>
    <w:p w14:paraId="4E6E2B5E" w14:textId="42F1E1D5" w:rsidR="0015778B" w:rsidRPr="00C43543" w:rsidRDefault="0015778B" w:rsidP="0015778B">
      <w:pPr>
        <w:pStyle w:val="BodyText"/>
        <w:rPr>
          <w:szCs w:val="28"/>
          <w14:ligatures w14:val="standardContextual"/>
        </w:rPr>
      </w:pPr>
      <w:r w:rsidRPr="00C43543">
        <w:rPr>
          <w:szCs w:val="28"/>
          <w14:ligatures w14:val="standardContextual"/>
        </w:rPr>
        <w:t xml:space="preserve">This new rationale represented another part of Monsanto’s strategy: to make the public believe that PCBs were not only </w:t>
      </w:r>
      <w:proofErr w:type="gramStart"/>
      <w:r w:rsidRPr="00C43543">
        <w:rPr>
          <w:szCs w:val="28"/>
          <w14:ligatures w14:val="standardContextual"/>
        </w:rPr>
        <w:t>safe, but</w:t>
      </w:r>
      <w:proofErr w:type="gramEnd"/>
      <w:r w:rsidRPr="00C43543">
        <w:rPr>
          <w:szCs w:val="28"/>
          <w14:ligatures w14:val="standardContextual"/>
        </w:rPr>
        <w:t xml:space="preserve"> were somehow </w:t>
      </w:r>
      <w:r w:rsidRPr="00C43543">
        <w:rPr>
          <w:i/>
          <w:iCs/>
          <w:szCs w:val="28"/>
          <w14:ligatures w14:val="standardContextual"/>
        </w:rPr>
        <w:t>safer</w:t>
      </w:r>
      <w:r w:rsidRPr="00C43543">
        <w:rPr>
          <w:szCs w:val="28"/>
          <w14:ligatures w14:val="standardContextual"/>
        </w:rPr>
        <w:t xml:space="preserve"> than alternatives. The year before, however, </w:t>
      </w:r>
      <w:r w:rsidRPr="00C43543">
        <w:rPr>
          <w:szCs w:val="28"/>
          <w14:ligatures w14:val="standardContextual"/>
        </w:rPr>
        <w:lastRenderedPageBreak/>
        <w:t>Japan had banned all</w:t>
      </w:r>
      <w:r w:rsidRPr="00C43543">
        <w:rPr>
          <w:i/>
          <w:iCs/>
          <w:szCs w:val="28"/>
          <w14:ligatures w14:val="standardContextual"/>
        </w:rPr>
        <w:t xml:space="preserve"> </w:t>
      </w:r>
      <w:r w:rsidRPr="00C43543">
        <w:rPr>
          <w:szCs w:val="28"/>
          <w14:ligatures w14:val="standardContextual"/>
        </w:rPr>
        <w:t xml:space="preserve">use of PCBs—with no apparent ill effects. </w:t>
      </w:r>
      <w:r w:rsidR="00191AF1" w:rsidRPr="003E0FF9">
        <w:t>P</w:t>
      </w:r>
      <w:r w:rsidR="00191AF1">
        <w:t>-</w:t>
      </w:r>
      <w:r w:rsidR="00191AF1" w:rsidRPr="003E0FF9">
        <w:t xml:space="preserve">645 at </w:t>
      </w:r>
      <w:r w:rsidR="00191AF1">
        <w:t xml:space="preserve">1. </w:t>
      </w:r>
      <w:r w:rsidRPr="00C43543">
        <w:rPr>
          <w:szCs w:val="28"/>
          <w14:ligatures w14:val="standardContextual"/>
        </w:rPr>
        <w:t xml:space="preserve">And the National Electrical Manufacturers Association told the EPA that it foresaw no “undue hardship resulting” from a U.S. ban. P-3696 at 31. Monsanto executives privately fretted that this would “add fuel to the fire that replacements are possible.” P-645 at 1. </w:t>
      </w:r>
    </w:p>
    <w:p w14:paraId="7382871E" w14:textId="78F0691E" w:rsidR="0015778B" w:rsidRPr="00C43543" w:rsidRDefault="0015778B" w:rsidP="0015778B">
      <w:pPr>
        <w:pStyle w:val="BodyText"/>
        <w:rPr>
          <w:szCs w:val="28"/>
          <w14:ligatures w14:val="standardContextual"/>
        </w:rPr>
      </w:pPr>
      <w:r w:rsidRPr="00C43543">
        <w:rPr>
          <w:szCs w:val="28"/>
          <w14:ligatures w14:val="standardContextual"/>
        </w:rPr>
        <w:t>Their fears were well-founded. Good alternatives existed that the EPA concluded would “not result in a significant increase in fire hazards.” P-836 at 41. “</w:t>
      </w:r>
      <w:proofErr w:type="spellStart"/>
      <w:r w:rsidRPr="00C43543">
        <w:rPr>
          <w:szCs w:val="28"/>
          <w14:ligatures w14:val="standardContextual"/>
        </w:rPr>
        <w:t>Aroclor’s</w:t>
      </w:r>
      <w:proofErr w:type="spellEnd"/>
      <w:r w:rsidRPr="00C43543">
        <w:rPr>
          <w:szCs w:val="28"/>
          <w14:ligatures w14:val="standardContextual"/>
        </w:rPr>
        <w:t xml:space="preserve"> only real reason for use in a transformer” was “its non-flammability.” </w:t>
      </w:r>
      <w:r w:rsidRPr="00C43543">
        <w:rPr>
          <w:i/>
          <w:iCs/>
          <w:szCs w:val="28"/>
          <w14:ligatures w14:val="standardContextual"/>
        </w:rPr>
        <w:t>Id.</w:t>
      </w:r>
      <w:r w:rsidRPr="00C43543">
        <w:rPr>
          <w:szCs w:val="28"/>
          <w14:ligatures w14:val="standardContextual"/>
        </w:rPr>
        <w:t xml:space="preserve"> at 50. But the “embarrassing fact” for Monsanto, according to an internal report, was that the number of explosions “was actually lower” with mineral oil than with PCBs. P-273 at 15, 58. Although PCBs “can’t burn,” an explosion “released large quantities” of hydrochloric acid into the air, causing “as much panic and damage as a fire would have.” P-155 at 50-51. And when fires did occur, PCBs made them </w:t>
      </w:r>
      <w:r w:rsidRPr="00C43543">
        <w:rPr>
          <w:i/>
          <w:iCs/>
          <w:szCs w:val="28"/>
          <w14:ligatures w14:val="standardContextual"/>
        </w:rPr>
        <w:t>more</w:t>
      </w:r>
      <w:r w:rsidRPr="00C43543">
        <w:rPr>
          <w:szCs w:val="28"/>
          <w14:ligatures w14:val="standardContextual"/>
        </w:rPr>
        <w:t xml:space="preserve"> dangerous, not less so. </w:t>
      </w:r>
      <w:r w:rsidRPr="00C43543">
        <w:rPr>
          <w:i/>
          <w:iCs/>
          <w:szCs w:val="28"/>
          <w14:ligatures w14:val="standardContextual"/>
        </w:rPr>
        <w:t xml:space="preserve">See </w:t>
      </w:r>
      <w:r w:rsidRPr="00C43543">
        <w:rPr>
          <w:szCs w:val="28"/>
          <w14:ligatures w14:val="standardContextual"/>
        </w:rPr>
        <w:t xml:space="preserve">P-1118 at 2; Tr. 649. Given all this, it was no surprise that an internal market survey from the 1950s had found that the “only ones who would like to see </w:t>
      </w:r>
      <w:proofErr w:type="spellStart"/>
      <w:r w:rsidRPr="00C43543">
        <w:rPr>
          <w:szCs w:val="28"/>
          <w14:ligatures w14:val="standardContextual"/>
        </w:rPr>
        <w:t>Aroclor</w:t>
      </w:r>
      <w:proofErr w:type="spellEnd"/>
      <w:r w:rsidRPr="00C43543">
        <w:rPr>
          <w:szCs w:val="28"/>
          <w14:ligatures w14:val="standardContextual"/>
        </w:rPr>
        <w:t xml:space="preserve"> go into transformers” were Monsanto’s own executives. P-155 at 55. </w:t>
      </w:r>
    </w:p>
    <w:p w14:paraId="71867F29" w14:textId="77777777" w:rsidR="0015778B" w:rsidRPr="00C43543" w:rsidRDefault="0015778B" w:rsidP="0015778B">
      <w:pPr>
        <w:pStyle w:val="BodyText"/>
        <w:rPr>
          <w:szCs w:val="28"/>
          <w14:ligatures w14:val="standardContextual"/>
        </w:rPr>
      </w:pPr>
      <w:r w:rsidRPr="00C43543">
        <w:rPr>
          <w:szCs w:val="28"/>
          <w14:ligatures w14:val="standardContextual"/>
        </w:rPr>
        <w:lastRenderedPageBreak/>
        <w:t>There was even less benefit in using PCBs for capacitors in light ballasts, because this use was “not based primarily on the fact that [PCBs are] fire-resistant.” P-248 at 8-9. Given the composition of capacitors, as the EPA would eventually explain, there was “little increase in fire hazard” even when “a flammable liquid is used.” P-836 at 268. Thus, even decades earlier, Monsanto’s market survey had found it “open to debate” just “how essential this characteristic” really was. P-155 at 21.</w:t>
      </w:r>
    </w:p>
    <w:p w14:paraId="4FC92C13"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2" w:name="_Toc109728327"/>
      <w:r w:rsidRPr="00C43543">
        <w:rPr>
          <w:rFonts w:ascii="Adobe Garamond Pro" w:hAnsi="Adobe Garamond Pro"/>
          <w14:ligatures w14:val="standardContextual"/>
        </w:rPr>
        <w:t>“A cancer-causing agent over their heads”: Monsanto continues to publicly deny PCBs’ health risks even after they are banned globally.</w:t>
      </w:r>
      <w:bookmarkEnd w:id="32"/>
    </w:p>
    <w:p w14:paraId="73ACA932" w14:textId="77777777" w:rsidR="0015778B" w:rsidRPr="00C43543" w:rsidRDefault="0015778B" w:rsidP="0015778B">
      <w:pPr>
        <w:pStyle w:val="BodyText"/>
        <w:rPr>
          <w:szCs w:val="28"/>
          <w14:ligatures w14:val="standardContextual"/>
        </w:rPr>
      </w:pPr>
      <w:r w:rsidRPr="00C43543">
        <w:rPr>
          <w:szCs w:val="28"/>
          <w14:ligatures w14:val="standardContextual"/>
        </w:rPr>
        <w:t>Despite Monsanto’s persistent efforts to hide the truth, federal regulators had more than enough evidence of the “serious threat” that PCBs posed to “human health and the environment” by the mid-1970s. P-2166 at 1; P-836 at 24. As the head of the EPA said in a 1975 press conference, “it is plain to me that we must, as a society, accept and work toward a goal of eliminating the production” and “use of PCB’s as rapidly as possible.” P-2166 at 2.</w:t>
      </w:r>
    </w:p>
    <w:p w14:paraId="41E3CA44"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With a federal ban looming, Monsanto emphasized short-term sales and public relations. Its head of industrial chemicals told the CEO: “We can probably stay in the PCB business two to three </w:t>
      </w:r>
      <w:r w:rsidRPr="00C43543">
        <w:rPr>
          <w:szCs w:val="28"/>
          <w14:ligatures w14:val="standardContextual"/>
        </w:rPr>
        <w:lastRenderedPageBreak/>
        <w:t xml:space="preserve">more years” and advised “using the Corporate PR Department” to both “make a judgment as to PCBs’ adverse impact on Monsanto” and address whether to “get out of the PCB business.” P-786. But even in 1977, knowing that a ban was imminent, Monsanto tried to squeeze every dollar of profit from its monopoly, urging customers to stock up on PCBs for the post-ban years. Tr. 1604. </w:t>
      </w:r>
    </w:p>
    <w:p w14:paraId="5AD36A25"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EPA followed through with the ban in 1979. It outlawed “all manufacturing” and “distribution in commerce” of PCBs in America. Tr. 532; </w:t>
      </w:r>
      <w:r w:rsidRPr="00C43543">
        <w:rPr>
          <w:i/>
          <w:iCs/>
          <w:szCs w:val="28"/>
          <w14:ligatures w14:val="standardContextual"/>
        </w:rPr>
        <w:t>see</w:t>
      </w:r>
      <w:r w:rsidRPr="00C43543">
        <w:rPr>
          <w:szCs w:val="28"/>
          <w14:ligatures w14:val="standardContextual"/>
        </w:rPr>
        <w:t xml:space="preserve"> 44 Fed. Reg. 31514. Other countries followed, and today, “PCB production is banned in every country.” Tr. 534. </w:t>
      </w:r>
    </w:p>
    <w:p w14:paraId="7B9BE64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Just months after the ban, in January 1980, Monsanto issued an internal memo—entitled “Surveillance of Defunct Products”— acknowledging that Monsanto could “be held accountable for environmental and health effects of [PCBs] for so long as they exist in the environment.” P-3271 at 1-2. </w:t>
      </w:r>
      <w:proofErr w:type="gramStart"/>
      <w:r w:rsidRPr="00C43543">
        <w:rPr>
          <w:szCs w:val="28"/>
          <w14:ligatures w14:val="standardContextual"/>
        </w:rPr>
        <w:t>So</w:t>
      </w:r>
      <w:proofErr w:type="gramEnd"/>
      <w:r w:rsidRPr="00C43543">
        <w:rPr>
          <w:szCs w:val="28"/>
          <w14:ligatures w14:val="standardContextual"/>
        </w:rPr>
        <w:t xml:space="preserve"> it recommended that, when an “environmental hazard or human exposure is alleged, [Monsanto] will, to the extent of [its] knowledge and capability, aid appropriate authorities and other persons, by providing counsel about the significance of the alleged exposure, as well as safe handling and safe disposal practices.” </w:t>
      </w:r>
      <w:r w:rsidRPr="00C43543">
        <w:rPr>
          <w:i/>
          <w:iCs/>
          <w:szCs w:val="28"/>
          <w14:ligatures w14:val="standardContextual"/>
        </w:rPr>
        <w:t>Id.</w:t>
      </w:r>
      <w:r w:rsidRPr="00C43543">
        <w:rPr>
          <w:szCs w:val="28"/>
          <w14:ligatures w14:val="standardContextual"/>
        </w:rPr>
        <w:t xml:space="preserve"> at 3; Tr. 784-86. Later that </w:t>
      </w:r>
      <w:r w:rsidRPr="00C43543">
        <w:rPr>
          <w:szCs w:val="28"/>
          <w14:ligatures w14:val="standardContextual"/>
        </w:rPr>
        <w:lastRenderedPageBreak/>
        <w:t>year, Monsanto reiterated internally that it would “act in a socially responsible manner” by “</w:t>
      </w:r>
      <w:proofErr w:type="spellStart"/>
      <w:r w:rsidRPr="00C43543">
        <w:rPr>
          <w:szCs w:val="28"/>
          <w14:ligatures w14:val="standardContextual"/>
        </w:rPr>
        <w:t>organiz</w:t>
      </w:r>
      <w:proofErr w:type="spellEnd"/>
      <w:r w:rsidRPr="00C43543">
        <w:rPr>
          <w:szCs w:val="28"/>
          <w14:ligatures w14:val="standardContextual"/>
        </w:rPr>
        <w:t>[</w:t>
      </w:r>
      <w:proofErr w:type="spellStart"/>
      <w:r w:rsidRPr="00C43543">
        <w:rPr>
          <w:szCs w:val="28"/>
          <w14:ligatures w14:val="standardContextual"/>
        </w:rPr>
        <w:t>ing</w:t>
      </w:r>
      <w:proofErr w:type="spellEnd"/>
      <w:r w:rsidRPr="00C43543">
        <w:rPr>
          <w:szCs w:val="28"/>
          <w14:ligatures w14:val="standardContextual"/>
        </w:rPr>
        <w:t xml:space="preserve">] and </w:t>
      </w:r>
      <w:proofErr w:type="spellStart"/>
      <w:r w:rsidRPr="00C43543">
        <w:rPr>
          <w:szCs w:val="28"/>
          <w14:ligatures w14:val="standardContextual"/>
        </w:rPr>
        <w:t>manag</w:t>
      </w:r>
      <w:proofErr w:type="spellEnd"/>
      <w:r w:rsidRPr="00C43543">
        <w:rPr>
          <w:szCs w:val="28"/>
          <w14:ligatures w14:val="standardContextual"/>
        </w:rPr>
        <w:t>[</w:t>
      </w:r>
      <w:proofErr w:type="spellStart"/>
      <w:r w:rsidRPr="00C43543">
        <w:rPr>
          <w:szCs w:val="28"/>
          <w14:ligatures w14:val="standardContextual"/>
        </w:rPr>
        <w:t>ing</w:t>
      </w:r>
      <w:proofErr w:type="spellEnd"/>
      <w:r w:rsidRPr="00C43543">
        <w:rPr>
          <w:szCs w:val="28"/>
          <w14:ligatures w14:val="standardContextual"/>
        </w:rPr>
        <w:t>] a program for continued surveillance of and to provide stewardship for the defunct [PCB] product line in perpetuity.” P-944 at 2.</w:t>
      </w:r>
    </w:p>
    <w:p w14:paraId="26DF2883"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None of this happened. </w:t>
      </w:r>
      <w:r w:rsidRPr="00C43543">
        <w:rPr>
          <w:i/>
          <w:iCs/>
          <w:szCs w:val="28"/>
          <w14:ligatures w14:val="standardContextual"/>
        </w:rPr>
        <w:t>See</w:t>
      </w:r>
      <w:r w:rsidRPr="00C43543">
        <w:rPr>
          <w:szCs w:val="28"/>
          <w14:ligatures w14:val="standardContextual"/>
        </w:rPr>
        <w:t xml:space="preserve"> Tr. 1595-96, 1608-10. Monsanto first explored cheap alternatives—one idea was to enlist Boy Scouts to remove PCB-containing equipment—and then abandoned plans altogether. P-884. Monsanto executives anticipated public uproar if it ever revealed the full extent to which ordinary consumers were exposed to PCBs—particularly from “fluorescent light fixtures.” P-2531. As one internal memo explained: “By and large the </w:t>
      </w:r>
      <w:proofErr w:type="gramStart"/>
      <w:r w:rsidRPr="00C43543">
        <w:rPr>
          <w:szCs w:val="28"/>
          <w14:ligatures w14:val="standardContextual"/>
        </w:rPr>
        <w:t>general public</w:t>
      </w:r>
      <w:proofErr w:type="gramEnd"/>
      <w:r w:rsidRPr="00C43543">
        <w:rPr>
          <w:szCs w:val="28"/>
          <w14:ligatures w14:val="standardContextual"/>
        </w:rPr>
        <w:t xml:space="preserve"> is not even aware that PCBs are in their fixtures and it’s probably just as well they aren’t. A lot of people would undoubtedly become very emotional—even panic—if they found out the[re] was a cancer-causing agent hanging over their heads.” </w:t>
      </w:r>
      <w:r w:rsidRPr="00C43543">
        <w:rPr>
          <w:i/>
          <w:iCs/>
          <w:szCs w:val="28"/>
          <w14:ligatures w14:val="standardContextual"/>
        </w:rPr>
        <w:t>Id.</w:t>
      </w:r>
    </w:p>
    <w:p w14:paraId="5A21EBE6" w14:textId="61E1C9CD" w:rsidR="0015778B" w:rsidRPr="00C43543" w:rsidRDefault="0015778B" w:rsidP="0015778B">
      <w:pPr>
        <w:pStyle w:val="BodyText"/>
        <w:rPr>
          <w:szCs w:val="28"/>
          <w14:ligatures w14:val="standardContextual"/>
        </w:rPr>
      </w:pPr>
      <w:proofErr w:type="gramStart"/>
      <w:r w:rsidRPr="00C43543">
        <w:rPr>
          <w:szCs w:val="28"/>
          <w14:ligatures w14:val="standardContextual"/>
        </w:rPr>
        <w:t>So</w:t>
      </w:r>
      <w:proofErr w:type="gramEnd"/>
      <w:r w:rsidRPr="00C43543">
        <w:rPr>
          <w:szCs w:val="28"/>
          <w14:ligatures w14:val="standardContextual"/>
        </w:rPr>
        <w:t xml:space="preserve"> Monsanto continued to do what it had done for decades: obfuscate and deny. In September 1980—just after its pledge to be “socially responsible”—Monsanto issued a press statement about PCB “facts” and “fallacies,” in which it flatly asserted that “PCBs are not ‘human cancer-causing’ agents and they are not ‘deadly’ </w:t>
      </w:r>
      <w:r w:rsidRPr="00C43543">
        <w:rPr>
          <w:szCs w:val="28"/>
          <w14:ligatures w14:val="standardContextual"/>
        </w:rPr>
        <w:lastRenderedPageBreak/>
        <w:t xml:space="preserve">toxins.” P-956 at 1. Instead, they “are considered mildly toxic on an acute basis when ingested by human—about on the same order as common table salt.” </w:t>
      </w:r>
      <w:r w:rsidRPr="00C43543">
        <w:rPr>
          <w:i/>
          <w:iCs/>
          <w:szCs w:val="28"/>
          <w14:ligatures w14:val="standardContextual"/>
        </w:rPr>
        <w:t>Id.</w:t>
      </w:r>
      <w:r w:rsidRPr="00C43543">
        <w:rPr>
          <w:szCs w:val="28"/>
          <w14:ligatures w14:val="standardContextual"/>
        </w:rPr>
        <w:t xml:space="preserve"> Despite decades of evidence to the contrary, Monsanto ended on a defiant note: “There has never been a single documented case in this country where PCBs ever caused serious human health problems.” </w:t>
      </w:r>
      <w:r w:rsidRPr="00C43543">
        <w:rPr>
          <w:i/>
          <w:iCs/>
          <w:szCs w:val="28"/>
          <w14:ligatures w14:val="standardContextual"/>
        </w:rPr>
        <w:t>Id.</w:t>
      </w:r>
      <w:r w:rsidRPr="00C43543">
        <w:rPr>
          <w:szCs w:val="28"/>
          <w14:ligatures w14:val="standardContextual"/>
        </w:rPr>
        <w:t xml:space="preserve"> at 2. </w:t>
      </w:r>
      <w:r w:rsidRPr="00C43543">
        <w:rPr>
          <w:szCs w:val="28"/>
          <w14:ligatures w14:val="standardContextual"/>
        </w:rPr>
        <w:tab/>
      </w:r>
    </w:p>
    <w:p w14:paraId="6263CD3D" w14:textId="77777777" w:rsidR="0015778B" w:rsidRPr="00C43543" w:rsidRDefault="0015778B" w:rsidP="0015778B">
      <w:pPr>
        <w:pStyle w:val="BodyText"/>
        <w:rPr>
          <w:szCs w:val="28"/>
          <w14:ligatures w14:val="standardContextual"/>
        </w:rPr>
      </w:pPr>
      <w:r w:rsidRPr="00C43543">
        <w:rPr>
          <w:szCs w:val="28"/>
          <w14:ligatures w14:val="standardContextual"/>
        </w:rPr>
        <w:t>These claims, of course, were false. Five years earlier, Papageorge had conceded that PCBs, as Monsanto had known for decades, could have a “real effect to humans—including death.” P-756 at 2.</w:t>
      </w:r>
    </w:p>
    <w:p w14:paraId="29C59293"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3" w:name="_Toc109728328"/>
      <w:r w:rsidRPr="00C43543">
        <w:rPr>
          <w:rFonts w:ascii="Adobe Garamond Pro" w:hAnsi="Adobe Garamond Pro"/>
          <w14:ligatures w14:val="standardContextual"/>
        </w:rPr>
        <w:t>Monsanto’s “sleeper issue”: PCB contamination in schools.</w:t>
      </w:r>
      <w:bookmarkEnd w:id="33"/>
    </w:p>
    <w:p w14:paraId="1B94DD15" w14:textId="7F6ECDF5" w:rsidR="0015778B" w:rsidRPr="00C43543" w:rsidRDefault="0015778B" w:rsidP="0015778B">
      <w:pPr>
        <w:pStyle w:val="BodyText"/>
        <w:rPr>
          <w:szCs w:val="28"/>
          <w14:ligatures w14:val="standardContextual"/>
        </w:rPr>
      </w:pPr>
      <w:r w:rsidRPr="00C43543">
        <w:rPr>
          <w:szCs w:val="28"/>
          <w14:ligatures w14:val="standardContextual"/>
        </w:rPr>
        <w:t xml:space="preserve">One of PCBs’ “real effect on humans” was the subject of an email that Bob Peirce, a member of Monsanto’s PR team in St. Louis, sent to his colleague in January 2010. He wanted to flag “the ‘sleeper’ issue in PCB contamination”—schools. P-3561 at 1. A couple months later, Peirce followed up, circulating a pilot study investigating PCB contamination in five New York City schools: “This is the sleeper issue, again.” </w:t>
      </w:r>
      <w:r w:rsidR="00191AF1">
        <w:rPr>
          <w:i/>
          <w:iCs/>
          <w:szCs w:val="28"/>
          <w14:ligatures w14:val="standardContextual"/>
        </w:rPr>
        <w:t>Id.</w:t>
      </w:r>
    </w:p>
    <w:p w14:paraId="38F233A3" w14:textId="77777777"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It was an issue that the St. Louis executives had long feared would come to light. In 1981, ABC Network News ran a program about an elementary school in Cincinnati that was forced to close after a motor overheated and exposed children to PCB fumes, causing “skin rashes, swollen eyes and difficulty in breathing.” P-975 at 2-3. Dan Bishop, another Monsanto PR person, crystallized his reaction in a memo to his team: “The local Cincinnati media are having a field day with this one.” </w:t>
      </w:r>
      <w:r w:rsidRPr="00C43543">
        <w:rPr>
          <w:i/>
          <w:iCs/>
          <w:szCs w:val="28"/>
          <w14:ligatures w14:val="standardContextual"/>
        </w:rPr>
        <w:t>Id.</w:t>
      </w:r>
      <w:r w:rsidRPr="00C43543">
        <w:rPr>
          <w:szCs w:val="28"/>
          <w14:ligatures w14:val="standardContextual"/>
        </w:rPr>
        <w:t xml:space="preserve"> at 1. “[T]here is a lot of PCB-containing electrical equipment in service throughout the country, with failures occurring every day, somewhere.” </w:t>
      </w:r>
      <w:r w:rsidRPr="00C43543">
        <w:rPr>
          <w:i/>
          <w:iCs/>
          <w:szCs w:val="28"/>
          <w14:ligatures w14:val="standardContextual"/>
        </w:rPr>
        <w:t>Id.</w:t>
      </w:r>
      <w:r w:rsidRPr="00C43543">
        <w:rPr>
          <w:szCs w:val="28"/>
          <w14:ligatures w14:val="standardContextual"/>
        </w:rPr>
        <w:t xml:space="preserve"> “If we don’t get this situation in perspective and under control quickly,” Bishop cautioned, “it could easily escalate into a national crisis.” </w:t>
      </w:r>
      <w:r w:rsidRPr="00C43543">
        <w:rPr>
          <w:i/>
          <w:iCs/>
          <w:szCs w:val="28"/>
          <w14:ligatures w14:val="standardContextual"/>
        </w:rPr>
        <w:t>Id.</w:t>
      </w:r>
    </w:p>
    <w:p w14:paraId="3EB3D938"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Bishop was right. Monsanto knew that students and teachers were exposed to various sources of PCBs. Tr. 1610-11. As a report by Senator Edward Markey later explained, “the primary pathways of PCB contamination in schools are caulk and leaking fluorescent light ballasts.” P-1889 at 5. The report, issued in 2016, identified “286 cases of PCB hazards in schools in 20 states across thousands of school buildings in the [preceding] ten years.” </w:t>
      </w:r>
      <w:r w:rsidRPr="00C43543">
        <w:rPr>
          <w:i/>
          <w:iCs/>
          <w:szCs w:val="28"/>
          <w14:ligatures w14:val="standardContextual"/>
        </w:rPr>
        <w:t xml:space="preserve">Id. </w:t>
      </w:r>
      <w:r w:rsidRPr="00C43543">
        <w:rPr>
          <w:szCs w:val="28"/>
          <w14:ligatures w14:val="standardContextual"/>
        </w:rPr>
        <w:t>at 9, 14.</w:t>
      </w:r>
    </w:p>
    <w:p w14:paraId="14A10D7E" w14:textId="58E02770"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Although Monsanto had long been aware of these school-specific risks, it did nothing. Worse than nothing. In 2009, for example, the EPA issued guidance detailing its “concern[s] about potential exposure to PCBs </w:t>
      </w:r>
      <w:r w:rsidR="00191AF1">
        <w:t xml:space="preserve">. . . </w:t>
      </w:r>
      <w:r w:rsidRPr="00C43543">
        <w:rPr>
          <w:szCs w:val="28"/>
          <w14:ligatures w14:val="standardContextual"/>
        </w:rPr>
        <w:t xml:space="preserve">in older schools and buildings.” P-1458 at 3. In response, Peirce paid to place a press release in the </w:t>
      </w:r>
      <w:r w:rsidRPr="00C43543">
        <w:rPr>
          <w:i/>
          <w:iCs/>
          <w:szCs w:val="28"/>
          <w14:ligatures w14:val="standardContextual"/>
        </w:rPr>
        <w:t>Wall Street Journal</w:t>
      </w:r>
      <w:r w:rsidRPr="00C43543">
        <w:rPr>
          <w:szCs w:val="28"/>
          <w14:ligatures w14:val="standardContextual"/>
        </w:rPr>
        <w:t xml:space="preserve"> that eerily resembled the defiance and deception of its </w:t>
      </w:r>
      <w:r w:rsidR="00D928ED" w:rsidRPr="00C43543">
        <w:rPr>
          <w:szCs w:val="28"/>
          <w14:ligatures w14:val="standardContextual"/>
        </w:rPr>
        <w:t xml:space="preserve">Monsanto’s </w:t>
      </w:r>
      <w:r w:rsidRPr="00C43543">
        <w:rPr>
          <w:szCs w:val="28"/>
          <w14:ligatures w14:val="standardContextual"/>
        </w:rPr>
        <w:t>public statements decades earlier. “There is no scientific consensus on [PCBs’] health effects,” Monsanto asserted. P-3558 at 2. “[T]</w:t>
      </w:r>
      <w:proofErr w:type="gramStart"/>
      <w:r w:rsidRPr="00C43543">
        <w:rPr>
          <w:szCs w:val="28"/>
          <w14:ligatures w14:val="standardContextual"/>
        </w:rPr>
        <w:t>he</w:t>
      </w:r>
      <w:proofErr w:type="gramEnd"/>
      <w:r w:rsidRPr="00C43543">
        <w:rPr>
          <w:szCs w:val="28"/>
          <w14:ligatures w14:val="standardContextual"/>
        </w:rPr>
        <w:t xml:space="preserve"> weight of scientific evidence does not support any causal link” between PCBs and any “significant human illnesses.” </w:t>
      </w:r>
      <w:r w:rsidRPr="00C43543">
        <w:rPr>
          <w:i/>
          <w:iCs/>
          <w:szCs w:val="28"/>
          <w14:ligatures w14:val="standardContextual"/>
        </w:rPr>
        <w:t>Id.</w:t>
      </w:r>
    </w:p>
    <w:p w14:paraId="018F4D94" w14:textId="77777777" w:rsidR="0015778B" w:rsidRPr="00C43543" w:rsidRDefault="0015778B" w:rsidP="0015778B">
      <w:pPr>
        <w:pStyle w:val="Heading3"/>
        <w:ind w:left="720" w:hanging="630"/>
        <w:rPr>
          <w:rFonts w:ascii="Adobe Garamond Pro" w:hAnsi="Adobe Garamond Pro"/>
          <w14:ligatures w14:val="standardContextual"/>
        </w:rPr>
      </w:pPr>
      <w:bookmarkStart w:id="34" w:name="_Toc107574525"/>
      <w:bookmarkStart w:id="35" w:name="_Toc109728329"/>
      <w:r w:rsidRPr="00C43543">
        <w:rPr>
          <w:rFonts w:ascii="Adobe Garamond Pro" w:hAnsi="Adobe Garamond Pro"/>
          <w14:ligatures w14:val="standardContextual"/>
        </w:rPr>
        <w:t xml:space="preserve">The teachers, staff, and students at Sky Valley Education Center are exposed to dangerous levels of PCBs, and the plaintiffs suffer permanent brain damage </w:t>
      </w:r>
      <w:proofErr w:type="gramStart"/>
      <w:r w:rsidRPr="00C43543">
        <w:rPr>
          <w:rFonts w:ascii="Adobe Garamond Pro" w:hAnsi="Adobe Garamond Pro"/>
          <w14:ligatures w14:val="standardContextual"/>
        </w:rPr>
        <w:t>as a result of</w:t>
      </w:r>
      <w:proofErr w:type="gramEnd"/>
      <w:r w:rsidRPr="00C43543">
        <w:rPr>
          <w:rFonts w:ascii="Adobe Garamond Pro" w:hAnsi="Adobe Garamond Pro"/>
          <w14:ligatures w14:val="standardContextual"/>
        </w:rPr>
        <w:t xml:space="preserve"> that sustained exposure.</w:t>
      </w:r>
      <w:bookmarkEnd w:id="34"/>
      <w:bookmarkEnd w:id="35"/>
    </w:p>
    <w:p w14:paraId="719FE015"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Kerry Erickson, Michelle Leahy, and Joyce Marquardt are former teachers at the Sky Valley Education Center, a K-12 public school in Monroe, Washington. The three women were beloved and “hard-working” teachers who were “extremely dedicated to the education of young people.” Tr. 2531. And they were in good health and full of energy, spending dozens of hours a week on their feet teaching while also developing curriculum. </w:t>
      </w:r>
    </w:p>
    <w:p w14:paraId="1D64841D" w14:textId="7231DFF2"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In 2011, however, things began to change. That year, Sky Valley moved to a </w:t>
      </w:r>
      <w:r w:rsidR="00D928ED" w:rsidRPr="00C43543">
        <w:rPr>
          <w:szCs w:val="28"/>
          <w14:ligatures w14:val="standardContextual"/>
        </w:rPr>
        <w:t>different</w:t>
      </w:r>
      <w:r w:rsidRPr="00C43543">
        <w:rPr>
          <w:szCs w:val="28"/>
          <w14:ligatures w14:val="standardContextual"/>
        </w:rPr>
        <w:t xml:space="preserve"> campus, with older “Pod” buildings built in the late 1960s. The teachers’ health deteriorated the longer they spent on campus until eventually, they sustained permanent brain damage. After years of uncertainty, the culprit became clear: dangerously high levels of Monsanto’s PCBs.</w:t>
      </w:r>
    </w:p>
    <w:p w14:paraId="342CFC91"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6" w:name="_Toc109728330"/>
      <w:bookmarkStart w:id="37" w:name="_Toc107574526"/>
      <w:r w:rsidRPr="00991327">
        <w:rPr>
          <w:rFonts w:ascii="Adobe Garamond Pro" w:hAnsi="Adobe Garamond Pro"/>
          <w14:ligatures w14:val="standardContextual"/>
        </w:rPr>
        <w:t xml:space="preserve">“Smokey events” and “brown, oily liquid”: </w:t>
      </w:r>
      <w:r w:rsidRPr="00C43543">
        <w:rPr>
          <w:rFonts w:ascii="Adobe Garamond Pro" w:hAnsi="Adobe Garamond Pro"/>
          <w14:ligatures w14:val="standardContextual"/>
        </w:rPr>
        <w:t>For years, fluorescent light ballasts at the school emit and leak particularly volatile forms of PCBs.</w:t>
      </w:r>
      <w:bookmarkEnd w:id="36"/>
      <w:r w:rsidRPr="00C43543">
        <w:rPr>
          <w:rFonts w:ascii="Adobe Garamond Pro" w:hAnsi="Adobe Garamond Pro"/>
          <w14:ligatures w14:val="standardContextual"/>
        </w:rPr>
        <w:t xml:space="preserve"> </w:t>
      </w:r>
      <w:bookmarkEnd w:id="37"/>
    </w:p>
    <w:p w14:paraId="3CE20AB6" w14:textId="39B74E66" w:rsidR="0015778B" w:rsidRPr="00C43543" w:rsidRDefault="0015778B" w:rsidP="0015778B">
      <w:pPr>
        <w:pStyle w:val="BodyText"/>
        <w:rPr>
          <w:szCs w:val="28"/>
          <w14:ligatures w14:val="standardContextual"/>
        </w:rPr>
      </w:pPr>
      <w:r w:rsidRPr="00C43543">
        <w:rPr>
          <w:szCs w:val="28"/>
          <w14:ligatures w14:val="standardContextual"/>
        </w:rPr>
        <w:t>When the Sky Valley “Pod” buildings were built, 95 percent of magnetic fluorescent-light ballasts contained PCBs. Tr. 1716-17</w:t>
      </w:r>
      <w:r w:rsidR="00D928ED" w:rsidRPr="00C43543">
        <w:rPr>
          <w:szCs w:val="28"/>
          <w14:ligatures w14:val="standardContextual"/>
        </w:rPr>
        <w:t xml:space="preserve">, </w:t>
      </w:r>
      <w:r w:rsidRPr="00C43543">
        <w:rPr>
          <w:szCs w:val="28"/>
          <w14:ligatures w14:val="standardContextual"/>
        </w:rPr>
        <w:t xml:space="preserve">1727. Like all PCB-containing light ballasts, those at Sky Valley steadily emitted PCBs into the air even when the lights were off, though emission levels were higher when the lights were on and temperatures rose. Tr. 1755-56; </w:t>
      </w:r>
      <w:r w:rsidRPr="00C43543">
        <w:rPr>
          <w:i/>
          <w:iCs/>
          <w:szCs w:val="28"/>
          <w14:ligatures w14:val="standardContextual"/>
        </w:rPr>
        <w:t xml:space="preserve">see </w:t>
      </w:r>
      <w:r w:rsidRPr="00C43543">
        <w:rPr>
          <w:szCs w:val="28"/>
          <w14:ligatures w14:val="standardContextual"/>
        </w:rPr>
        <w:t xml:space="preserve">P-1721 at 11. </w:t>
      </w:r>
    </w:p>
    <w:p w14:paraId="46C1BF42" w14:textId="3BD3E205" w:rsidR="0015778B" w:rsidRPr="00C43543" w:rsidRDefault="0015778B" w:rsidP="0015778B">
      <w:pPr>
        <w:pStyle w:val="BodyText"/>
        <w:rPr>
          <w:szCs w:val="28"/>
          <w14:ligatures w14:val="standardContextual"/>
        </w:rPr>
      </w:pPr>
      <w:r w:rsidRPr="00C43543">
        <w:rPr>
          <w:szCs w:val="28"/>
          <w14:ligatures w14:val="standardContextual"/>
        </w:rPr>
        <w:t xml:space="preserve">Sky Valley’s teachers and students </w:t>
      </w:r>
      <w:r w:rsidR="00A1036E" w:rsidRPr="00C43543">
        <w:rPr>
          <w:szCs w:val="28"/>
          <w14:ligatures w14:val="standardContextual"/>
        </w:rPr>
        <w:t xml:space="preserve">were </w:t>
      </w:r>
      <w:r w:rsidRPr="00C43543">
        <w:rPr>
          <w:szCs w:val="28"/>
          <w14:ligatures w14:val="standardContextual"/>
        </w:rPr>
        <w:t xml:space="preserve">unaware that PCBs flowed from the fixtures hanging over their heads. </w:t>
      </w:r>
      <w:r w:rsidR="00765025">
        <w:rPr>
          <w:szCs w:val="28"/>
          <w14:ligatures w14:val="standardContextual"/>
        </w:rPr>
        <w:t>The teachers</w:t>
      </w:r>
      <w:r w:rsidRPr="00C43543">
        <w:rPr>
          <w:szCs w:val="28"/>
          <w14:ligatures w14:val="standardContextual"/>
        </w:rPr>
        <w:t>, however, did notice problems with the lights. They encountered “smokey events,” and on several occasions saw “brown, oily</w:t>
      </w:r>
      <w:r w:rsidR="00191AF1">
        <w:rPr>
          <w:szCs w:val="28"/>
          <w14:ligatures w14:val="standardContextual"/>
        </w:rPr>
        <w:t xml:space="preserve"> []</w:t>
      </w:r>
      <w:r w:rsidRPr="00C43543">
        <w:rPr>
          <w:szCs w:val="28"/>
          <w14:ligatures w14:val="standardContextual"/>
        </w:rPr>
        <w:t xml:space="preserve"> liquid leaking out of light fixtures.” Tr. 1762-63. When this happened, they “placed trash cans underneath” and told students </w:t>
      </w:r>
      <w:proofErr w:type="gramStart"/>
      <w:r w:rsidRPr="00C43543">
        <w:rPr>
          <w:szCs w:val="28"/>
          <w14:ligatures w14:val="standardContextual"/>
        </w:rPr>
        <w:t>“not</w:t>
      </w:r>
      <w:proofErr w:type="gramEnd"/>
      <w:r w:rsidRPr="00C43543">
        <w:rPr>
          <w:szCs w:val="28"/>
          <w14:ligatures w14:val="standardContextual"/>
        </w:rPr>
        <w:t xml:space="preserve"> to go near </w:t>
      </w:r>
      <w:r w:rsidRPr="00C43543">
        <w:rPr>
          <w:szCs w:val="28"/>
          <w14:ligatures w14:val="standardContextual"/>
        </w:rPr>
        <w:lastRenderedPageBreak/>
        <w:t xml:space="preserve">those.” </w:t>
      </w:r>
      <w:r w:rsidR="00D928ED" w:rsidRPr="00C43543">
        <w:rPr>
          <w:szCs w:val="28"/>
          <w14:ligatures w14:val="standardContextual"/>
        </w:rPr>
        <w:t>Tr. 1763.</w:t>
      </w:r>
      <w:r w:rsidRPr="00C43543">
        <w:rPr>
          <w:szCs w:val="28"/>
          <w14:ligatures w14:val="standardContextual"/>
        </w:rPr>
        <w:t xml:space="preserve"> Photos from third-party testing in 2016 also showed dark brown staining. Tr. 1757-59.</w:t>
      </w:r>
      <w:r w:rsidRPr="00C43543">
        <w:rPr>
          <w:noProof/>
          <w:szCs w:val="28"/>
          <w14:ligatures w14:val="standardContextual"/>
        </w:rPr>
        <w:t xml:space="preserve"> </w:t>
      </w:r>
    </w:p>
    <w:p w14:paraId="11D32A56"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This staining evidenced ballast failures. </w:t>
      </w:r>
      <w:r w:rsidRPr="00C43543">
        <w:rPr>
          <w:i/>
          <w:iCs/>
          <w:szCs w:val="28"/>
          <w14:ligatures w14:val="standardContextual"/>
        </w:rPr>
        <w:t xml:space="preserve">See </w:t>
      </w:r>
      <w:r w:rsidRPr="00C43543">
        <w:rPr>
          <w:szCs w:val="28"/>
          <w14:ligatures w14:val="standardContextual"/>
        </w:rPr>
        <w:t>Tr. 1762. Ballast failures, the EPA has explained, “</w:t>
      </w:r>
      <w:proofErr w:type="spellStart"/>
      <w:r w:rsidRPr="00C43543">
        <w:rPr>
          <w:szCs w:val="28"/>
          <w14:ligatures w14:val="standardContextual"/>
        </w:rPr>
        <w:t>releas</w:t>
      </w:r>
      <w:proofErr w:type="spellEnd"/>
      <w:r w:rsidRPr="00C43543">
        <w:rPr>
          <w:szCs w:val="28"/>
          <w14:ligatures w14:val="standardContextual"/>
        </w:rPr>
        <w:t>[e] PCB vapors into the air and liquid PCBs onto surfaces.” P-1721 at 11; Tr. 1756. Such failures can cause PCB air levels to rise precipitously, especially when the ventilation system is functioning poorly, which in turn enhances the inhalation risks. Tr. 1778, 1819, 1828. Liquid PCBs can also get onto surfaces if the capacitator inside the ballast springs a leak, risking exposure by ingestion or skin contact. Tr. 1760-61.</w:t>
      </w:r>
    </w:p>
    <w:p w14:paraId="6D0BD32C" w14:textId="0282D1DF" w:rsidR="0015778B" w:rsidRPr="00C43543" w:rsidRDefault="0015778B" w:rsidP="0015778B">
      <w:pPr>
        <w:pStyle w:val="BodyText"/>
        <w:rPr>
          <w:szCs w:val="28"/>
          <w14:ligatures w14:val="standardContextual"/>
        </w:rPr>
      </w:pPr>
      <w:r w:rsidRPr="00C43543">
        <w:rPr>
          <w:szCs w:val="28"/>
          <w14:ligatures w14:val="standardContextual"/>
        </w:rPr>
        <w:t xml:space="preserve">Sky Valley’s ballasts not only continuously leaked Monsanto’s PCBs for years, but also discharged a particularly volatile and more easily inhaled form of PCB. PCBs are formed by forcing chlorine molecules to attach to two connected benzene rings. There are more than 200 possible molecular combinations, or “congeners.” The more chlorine attached, the “heavier” or “higher-chlorinated” the congener. Tr. 827-28, 1280, 2148. Monsanto combined different proportions of congeners to create its commercial mixtures. </w:t>
      </w:r>
      <w:r w:rsidR="00D928ED" w:rsidRPr="00C43543">
        <w:rPr>
          <w:szCs w:val="28"/>
          <w14:ligatures w14:val="standardContextual"/>
        </w:rPr>
        <w:t>Tr. 827-28.</w:t>
      </w:r>
    </w:p>
    <w:p w14:paraId="79B12615" w14:textId="77777777"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As it turns out, the PCBs that Monsanto sold for light ballasts and caulking were PCB mixtures with a high proportion of lower-chlorinated PCB congeners. Tr. 2080, 2151, 3344. These congeners are more “volatile” and evaporate into the air more quickly than their heavier counterparts. Tr. 1282-83; </w:t>
      </w:r>
      <w:r w:rsidRPr="00C43543">
        <w:rPr>
          <w:i/>
          <w:iCs/>
          <w:szCs w:val="28"/>
          <w14:ligatures w14:val="standardContextual"/>
        </w:rPr>
        <w:t xml:space="preserve">see </w:t>
      </w:r>
      <w:r w:rsidRPr="00C43543">
        <w:rPr>
          <w:szCs w:val="28"/>
          <w14:ligatures w14:val="standardContextual"/>
        </w:rPr>
        <w:t>Tr. 1055, 1287-88. This volatility, in turn, means that lower-chlorinated PCBs pose a greater risk of toxic exposure via inhalation. Tr. 2148.</w:t>
      </w:r>
      <w:r w:rsidRPr="00C43543" w:rsidDel="00621FC3">
        <w:rPr>
          <w:szCs w:val="28"/>
          <w14:ligatures w14:val="standardContextual"/>
        </w:rPr>
        <w:t xml:space="preserve"> </w:t>
      </w:r>
    </w:p>
    <w:p w14:paraId="1C0EF170"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38" w:name="_Toc107574527"/>
      <w:bookmarkStart w:id="39" w:name="_Toc109728331"/>
      <w:r w:rsidRPr="00C43543">
        <w:rPr>
          <w:rFonts w:ascii="Adobe Garamond Pro" w:hAnsi="Adobe Garamond Pro"/>
          <w14:ligatures w14:val="standardContextual"/>
        </w:rPr>
        <w:t>“A single drop”: The teachers’ exposure to PCBs significantly exceeds safe limits.</w:t>
      </w:r>
      <w:bookmarkEnd w:id="38"/>
      <w:bookmarkEnd w:id="39"/>
    </w:p>
    <w:p w14:paraId="04510845" w14:textId="77DA9CC1" w:rsidR="0015778B" w:rsidRPr="00C43543" w:rsidRDefault="00D928ED" w:rsidP="0015778B">
      <w:pPr>
        <w:pStyle w:val="BodyText"/>
        <w:rPr>
          <w:szCs w:val="28"/>
          <w14:ligatures w14:val="standardContextual"/>
        </w:rPr>
      </w:pPr>
      <w:r w:rsidRPr="00C43543">
        <w:rPr>
          <w:szCs w:val="28"/>
          <w14:ligatures w14:val="standardContextual"/>
        </w:rPr>
        <w:t>A</w:t>
      </w:r>
      <w:r w:rsidR="0015778B" w:rsidRPr="00C43543">
        <w:rPr>
          <w:szCs w:val="28"/>
          <w14:ligatures w14:val="standardContextual"/>
        </w:rPr>
        <w:t xml:space="preserve">fter moving to the Pod buildings in 2011, the teachers began experiencing a wave of strange and alarming symptoms. Tr. 3014. Although confused about the cause at first, they eventually linked their symptoms to the buildings. </w:t>
      </w:r>
      <w:r w:rsidR="0015778B" w:rsidRPr="00C43543">
        <w:rPr>
          <w:i/>
          <w:iCs/>
          <w:szCs w:val="28"/>
          <w14:ligatures w14:val="standardContextual"/>
        </w:rPr>
        <w:t>See, e.g.</w:t>
      </w:r>
      <w:r w:rsidR="0015778B" w:rsidRPr="00C43543">
        <w:rPr>
          <w:szCs w:val="28"/>
          <w14:ligatures w14:val="standardContextual"/>
        </w:rPr>
        <w:t>, Tr. 3012, 3014, 3048-49, 3070-71, 3131. Ms. Marquardt, for instance, felt terrible at the end of every school week, requiring her to “spend all day in bed trying to recover.” Tr. 3017-18. By Monday, she would feel better, but then her symptoms would reappear by the middle of the week. Tr. 3018</w:t>
      </w:r>
      <w:r w:rsidR="00191AF1">
        <w:rPr>
          <w:szCs w:val="28"/>
          <w14:ligatures w14:val="standardContextual"/>
        </w:rPr>
        <w:t>-</w:t>
      </w:r>
      <w:r w:rsidR="0015778B" w:rsidRPr="00C43543">
        <w:rPr>
          <w:szCs w:val="28"/>
          <w14:ligatures w14:val="standardContextual"/>
        </w:rPr>
        <w:t xml:space="preserve">20. And Ms. Erickson and Ms. Leahy both noticed that while they felt “pretty sick” at the end of the school year, their symptoms would mostly clear during the summer only to reappear the following </w:t>
      </w:r>
      <w:r w:rsidR="0015778B" w:rsidRPr="00C43543">
        <w:rPr>
          <w:szCs w:val="28"/>
          <w14:ligatures w14:val="standardContextual"/>
        </w:rPr>
        <w:lastRenderedPageBreak/>
        <w:t>term. Tr. 3070, 3131. But over time, they would not return to normal. For all three, their symptoms would persist in the ensuing years and eventually progress to permanent brain damage.</w:t>
      </w:r>
    </w:p>
    <w:p w14:paraId="33B6E37C" w14:textId="18BC813E" w:rsidR="0015778B" w:rsidRPr="00C43543" w:rsidRDefault="0015778B" w:rsidP="0015778B">
      <w:pPr>
        <w:pStyle w:val="BodyText"/>
        <w:rPr>
          <w:szCs w:val="28"/>
          <w14:ligatures w14:val="standardContextual"/>
        </w:rPr>
      </w:pPr>
      <w:r w:rsidRPr="00C43543">
        <w:rPr>
          <w:szCs w:val="28"/>
          <w14:ligatures w14:val="standardContextual"/>
        </w:rPr>
        <w:t xml:space="preserve">The three teachers weren’t alone. Scores of others at Sky Valley—teachers, students, and staff—fell ill with similar symptoms after the move. Tr. 1072, 1122-24, 2535-36. Teachers started noticing that more students were absent from class than in previous years, </w:t>
      </w:r>
      <w:r w:rsidRPr="00C43543">
        <w:rPr>
          <w:bCs/>
          <w:szCs w:val="28"/>
          <w14:ligatures w14:val="standardContextual"/>
        </w:rPr>
        <w:t xml:space="preserve">Tr. 3013, 3073, 3137-38, and witnessed </w:t>
      </w:r>
      <w:r w:rsidRPr="00C43543">
        <w:rPr>
          <w:szCs w:val="28"/>
          <w14:ligatures w14:val="standardContextual"/>
        </w:rPr>
        <w:t>an “exponential growth” in the number of students showing “bizarre behavior</w:t>
      </w:r>
      <w:r w:rsidR="00191AF1">
        <w:rPr>
          <w:szCs w:val="28"/>
          <w14:ligatures w14:val="standardContextual"/>
        </w:rPr>
        <w:t>,</w:t>
      </w:r>
      <w:r w:rsidRPr="00C43543">
        <w:rPr>
          <w:szCs w:val="28"/>
          <w14:ligatures w14:val="standardContextual"/>
        </w:rPr>
        <w:t>” Tr. 3137.</w:t>
      </w:r>
    </w:p>
    <w:p w14:paraId="0A41CA2B" w14:textId="12B6D502" w:rsidR="0015778B" w:rsidRPr="00C43543" w:rsidRDefault="0015778B" w:rsidP="0015778B">
      <w:pPr>
        <w:pStyle w:val="BodyText"/>
        <w:rPr>
          <w:szCs w:val="28"/>
          <w14:ligatures w14:val="standardContextual"/>
        </w:rPr>
      </w:pPr>
      <w:r w:rsidRPr="00C43543">
        <w:rPr>
          <w:szCs w:val="28"/>
          <w14:ligatures w14:val="standardContextual"/>
        </w:rPr>
        <w:t>No PCB testing was ever done during the time when the three teachers (and numerous others at Sky Valley) developed symptoms. Tr. 1704-05, 1767, 1784. But later testing established the presence of PCBs at the school—and</w:t>
      </w:r>
      <w:proofErr w:type="gramStart"/>
      <w:r w:rsidRPr="00C43543">
        <w:rPr>
          <w:szCs w:val="28"/>
          <w14:ligatures w14:val="standardContextual"/>
        </w:rPr>
        <w:t>, in particular, the</w:t>
      </w:r>
      <w:proofErr w:type="gramEnd"/>
      <w:r w:rsidRPr="00C43543">
        <w:rPr>
          <w:szCs w:val="28"/>
          <w14:ligatures w14:val="standardContextual"/>
        </w:rPr>
        <w:t xml:space="preserve"> lower-chlorinated combinations most commonly found in light-ballast dielectric fluid (marketed by Monsanto as “</w:t>
      </w:r>
      <w:proofErr w:type="spellStart"/>
      <w:r w:rsidRPr="00C43543">
        <w:rPr>
          <w:szCs w:val="28"/>
          <w14:ligatures w14:val="standardContextual"/>
        </w:rPr>
        <w:t>Aroclors</w:t>
      </w:r>
      <w:proofErr w:type="spellEnd"/>
      <w:r w:rsidRPr="00C43543">
        <w:rPr>
          <w:szCs w:val="28"/>
          <w14:ligatures w14:val="standardContextual"/>
        </w:rPr>
        <w:t xml:space="preserve"> 1016 and 1</w:t>
      </w:r>
      <w:r w:rsidR="00B149A9" w:rsidRPr="00C43543">
        <w:rPr>
          <w:szCs w:val="28"/>
          <w14:ligatures w14:val="standardContextual"/>
        </w:rPr>
        <w:t>2</w:t>
      </w:r>
      <w:r w:rsidRPr="00C43543">
        <w:rPr>
          <w:szCs w:val="28"/>
          <w14:ligatures w14:val="standardContextual"/>
        </w:rPr>
        <w:t>42,” the first of which Monsanto didn’t manufacture until the 1970s). Tr. 1752-53</w:t>
      </w:r>
      <w:r w:rsidR="00EF4FD6">
        <w:rPr>
          <w:szCs w:val="28"/>
          <w14:ligatures w14:val="standardContextual"/>
        </w:rPr>
        <w:t>, 2254</w:t>
      </w:r>
      <w:r w:rsidRPr="00C43543">
        <w:rPr>
          <w:szCs w:val="28"/>
          <w14:ligatures w14:val="standardContextual"/>
        </w:rPr>
        <w:t xml:space="preserve">. </w:t>
      </w:r>
    </w:p>
    <w:p w14:paraId="18F576FD" w14:textId="647802E5" w:rsidR="0015778B" w:rsidRPr="00C43543" w:rsidRDefault="0015778B" w:rsidP="0015778B">
      <w:pPr>
        <w:pStyle w:val="BodyText"/>
        <w:rPr>
          <w:szCs w:val="28"/>
          <w14:ligatures w14:val="standardContextual"/>
        </w:rPr>
      </w:pPr>
      <w:r w:rsidRPr="00C43543">
        <w:rPr>
          <w:szCs w:val="28"/>
          <w14:ligatures w14:val="standardContextual"/>
        </w:rPr>
        <w:t xml:space="preserve">These PCBs were found in the school’s light ballasts, caulk, carpeting, and floor tiles under the carpet. Tr. 1727-28. And the estimated PCB air levels to which the teachers were exposed ranged </w:t>
      </w:r>
      <w:r w:rsidRPr="00C43543">
        <w:rPr>
          <w:szCs w:val="28"/>
          <w14:ligatures w14:val="standardContextual"/>
        </w:rPr>
        <w:lastRenderedPageBreak/>
        <w:t xml:space="preserve">from “several hundred to several thousand nanograms per cubic meter”—far above normal exposure levels. Tr. 1725; </w:t>
      </w:r>
      <w:r w:rsidRPr="00C43543">
        <w:rPr>
          <w:i/>
          <w:iCs/>
          <w:szCs w:val="28"/>
          <w14:ligatures w14:val="standardContextual"/>
        </w:rPr>
        <w:t xml:space="preserve">see </w:t>
      </w:r>
      <w:r w:rsidR="00D928ED" w:rsidRPr="00C43543">
        <w:rPr>
          <w:szCs w:val="28"/>
          <w14:ligatures w14:val="standardContextual"/>
        </w:rPr>
        <w:t>Tr.</w:t>
      </w:r>
      <w:r w:rsidRPr="00C43543">
        <w:rPr>
          <w:szCs w:val="28"/>
          <w14:ligatures w14:val="standardContextual"/>
        </w:rPr>
        <w:t xml:space="preserve"> 842.</w:t>
      </w:r>
    </w:p>
    <w:p w14:paraId="1BE29790"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These levels were especially concerning because even tiny amounts of PCBs can result in serious and widespread exposure. A “single drop of </w:t>
      </w:r>
      <w:proofErr w:type="spellStart"/>
      <w:r w:rsidRPr="00C43543">
        <w:rPr>
          <w:szCs w:val="28"/>
          <w14:ligatures w14:val="standardContextual"/>
        </w:rPr>
        <w:t>Aroclor</w:t>
      </w:r>
      <w:proofErr w:type="spellEnd"/>
      <w:r w:rsidRPr="00C43543">
        <w:rPr>
          <w:szCs w:val="28"/>
          <w14:ligatures w14:val="standardContextual"/>
        </w:rPr>
        <w:t xml:space="preserve"> 1242,” for example, if “evaporate[d]” into “an entire classroom,” would exceed the CDC’s recommended level (1,000 ng/m</w:t>
      </w:r>
      <w:r w:rsidRPr="00C43543">
        <w:rPr>
          <w:szCs w:val="28"/>
          <w:vertAlign w:val="superscript"/>
          <w14:ligatures w14:val="standardContextual"/>
        </w:rPr>
        <w:t>3</w:t>
      </w:r>
      <w:r w:rsidRPr="00C43543">
        <w:rPr>
          <w:szCs w:val="28"/>
          <w14:ligatures w14:val="standardContextual"/>
        </w:rPr>
        <w:t xml:space="preserve">). Tr. 1720, 1814. Federal regulators recommend that people facing such air levels either “evacuate the area” or wear, in essence, a “SCUBA pack” and “full face mask.” Tr. 1720; </w:t>
      </w:r>
      <w:r w:rsidRPr="00C43543">
        <w:rPr>
          <w:i/>
          <w:iCs/>
          <w:szCs w:val="28"/>
          <w14:ligatures w14:val="standardContextual"/>
        </w:rPr>
        <w:t xml:space="preserve">see </w:t>
      </w:r>
      <w:r w:rsidRPr="00C43543">
        <w:rPr>
          <w:szCs w:val="28"/>
          <w14:ligatures w14:val="standardContextual"/>
        </w:rPr>
        <w:t xml:space="preserve">Tr. 1814. </w:t>
      </w:r>
    </w:p>
    <w:p w14:paraId="5EDD2602" w14:textId="77777777" w:rsidR="0015778B" w:rsidRPr="00C43543" w:rsidRDefault="0015778B" w:rsidP="0015778B">
      <w:pPr>
        <w:pStyle w:val="BodyText"/>
        <w:rPr>
          <w:szCs w:val="28"/>
          <w14:ligatures w14:val="standardContextual"/>
        </w:rPr>
      </w:pPr>
      <w:r w:rsidRPr="00C43543">
        <w:rPr>
          <w:szCs w:val="28"/>
          <w14:ligatures w14:val="standardContextual"/>
        </w:rPr>
        <w:t>And what the teachers faced was likely even worse. Ballast failures—of which there was evidence at Sky Valley—could result in air levels of 10,000 to 100,000 ng/m</w:t>
      </w:r>
      <w:r w:rsidRPr="00C43543">
        <w:rPr>
          <w:szCs w:val="28"/>
          <w:vertAlign w:val="superscript"/>
          <w14:ligatures w14:val="standardContextual"/>
        </w:rPr>
        <w:t>3</w:t>
      </w:r>
      <w:r w:rsidRPr="00C43543">
        <w:rPr>
          <w:szCs w:val="28"/>
          <w14:ligatures w14:val="standardContextual"/>
        </w:rPr>
        <w:t>. Tr. 1819. Yet the “conservative” estimates of the teachers’ exposure levels didn’t factor in the likelihood of those failures—or alternative routes of PCB exposure, like skin contact or ingestion. Tr. 1756, 1799, 1800-01.</w:t>
      </w:r>
    </w:p>
    <w:p w14:paraId="65080B7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Testing also determined that the teachers were exposed to furans—a highly toxic byproduct of PCB manufacturing. Tr. 1706-07. Furans were detected on carpets stained by PCB oil that had leaked from failing ballasts. Tr. 1728, 1821. They were also found in </w:t>
      </w:r>
      <w:r w:rsidRPr="00C43543">
        <w:rPr>
          <w:szCs w:val="28"/>
          <w14:ligatures w14:val="standardContextual"/>
        </w:rPr>
        <w:lastRenderedPageBreak/>
        <w:t>the teachers’ blood—which chemical analysis showed most likely resulted from exposure at the school. Tr. 1822-24, 1986, 2031-32.</w:t>
      </w:r>
    </w:p>
    <w:p w14:paraId="00ADC8C7"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40" w:name="_Toc107574528"/>
      <w:bookmarkStart w:id="41" w:name="_Toc109728332"/>
      <w:r w:rsidRPr="00C43543">
        <w:rPr>
          <w:rFonts w:ascii="Adobe Garamond Pro" w:hAnsi="Adobe Garamond Pro"/>
          <w14:ligatures w14:val="standardContextual"/>
        </w:rPr>
        <w:t>An “explosion of symptoms”: Because of their exposure to lower-chlorinated PCBs at the school, the teachers suffer brain injuries.</w:t>
      </w:r>
      <w:bookmarkEnd w:id="40"/>
      <w:bookmarkEnd w:id="41"/>
      <w:r w:rsidRPr="00C43543">
        <w:rPr>
          <w:rFonts w:ascii="Adobe Garamond Pro" w:hAnsi="Adobe Garamond Pro"/>
          <w14:ligatures w14:val="standardContextual"/>
        </w:rPr>
        <w:t xml:space="preserve"> </w:t>
      </w:r>
    </w:p>
    <w:p w14:paraId="25FC3244" w14:textId="471FF899" w:rsidR="0015778B" w:rsidRPr="00C43543" w:rsidRDefault="0015778B" w:rsidP="0015778B">
      <w:pPr>
        <w:pStyle w:val="BodyText"/>
        <w:rPr>
          <w:szCs w:val="28"/>
          <w14:ligatures w14:val="standardContextual"/>
        </w:rPr>
      </w:pPr>
      <w:r w:rsidRPr="00C43543">
        <w:rPr>
          <w:szCs w:val="28"/>
          <w14:ligatures w14:val="standardContextual"/>
        </w:rPr>
        <w:t xml:space="preserve">The three teachers were each in good health before working at the new campus. But after the move, they experienced an “explosion of symptoms”: headaches, brain fog, lightheadedness, difficulty concentrating and focusing, memory problems, fatigue, and more. Tr. 3131; </w:t>
      </w:r>
      <w:r w:rsidRPr="00C43543">
        <w:rPr>
          <w:i/>
          <w:iCs/>
          <w:szCs w:val="28"/>
          <w14:ligatures w14:val="standardContextual"/>
        </w:rPr>
        <w:t>see, e.g.</w:t>
      </w:r>
      <w:r w:rsidRPr="00C43543">
        <w:rPr>
          <w:szCs w:val="28"/>
          <w14:ligatures w14:val="standardContextual"/>
        </w:rPr>
        <w:t xml:space="preserve">, </w:t>
      </w:r>
      <w:r w:rsidR="00D928ED" w:rsidRPr="00C43543">
        <w:rPr>
          <w:szCs w:val="28"/>
          <w14:ligatures w14:val="standardContextual"/>
        </w:rPr>
        <w:t xml:space="preserve">Tr. </w:t>
      </w:r>
      <w:r w:rsidRPr="00C43543">
        <w:rPr>
          <w:szCs w:val="28"/>
          <w14:ligatures w14:val="standardContextual"/>
        </w:rPr>
        <w:t>2269-70, 2344, 2347, 3014-18, 3071-72, 3131-33, 3136-39. These symptoms—which worsened as the teachers stayed in the school—all indicated neurological injury. Tr. 1083, 1106-07, 1112-16.</w:t>
      </w:r>
    </w:p>
    <w:p w14:paraId="5721287B"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It is “well documented” that repeated inhalation of lower-chlorinated PCBs causes brain damage. Tr. 2148-52, 2458. When these PCBs get inhaled into the lungs and enter the bloodstream, the body metabolizes the chemicals into “monster molecules” known as metabolites that are highly “toxic.” Tr. 1331-33. </w:t>
      </w:r>
    </w:p>
    <w:p w14:paraId="2E1ACA7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Once in the blood, the metabolites can cross the blood-brain barrier and cause severe neurological damage—long after the PCBs have been eliminated from the person’s body. Tr. 1332, 1334. The </w:t>
      </w:r>
      <w:r w:rsidRPr="00C43543">
        <w:rPr>
          <w:szCs w:val="28"/>
          <w14:ligatures w14:val="standardContextual"/>
        </w:rPr>
        <w:lastRenderedPageBreak/>
        <w:t>metabolites interfere with and block electrical responses in the brain, which can inhibit a person’s ability to learn and remember. Tr. 2140-42. They also can block the uptake of dopamine in brain cells, resulting in depression, anxiety, and similar psychological conditions. Tr. 2142-43. They can even kill nerve cells—which typically don’t regenerate. Tr. 2143-44, 2161, 2610, 2458.</w:t>
      </w:r>
    </w:p>
    <w:p w14:paraId="190E1784" w14:textId="77777777" w:rsidR="009A70AD" w:rsidRPr="00C43543" w:rsidRDefault="0015778B" w:rsidP="0015778B">
      <w:pPr>
        <w:pStyle w:val="BodyText"/>
        <w:rPr>
          <w:szCs w:val="28"/>
          <w14:ligatures w14:val="standardContextual"/>
        </w:rPr>
      </w:pPr>
      <w:r w:rsidRPr="00C43543">
        <w:rPr>
          <w:szCs w:val="28"/>
          <w14:ligatures w14:val="standardContextual"/>
        </w:rPr>
        <w:t xml:space="preserve">Early health studies of PCBs focused primarily on higher-chlorinated PCB congeners, which persist for decades in the human body and natural environment. Tr. 2155, 2488. But because lower-chlorinated PCBs are more volatile than heavier ones, they are also more quickly metabolized and eliminated by the body. Tr. 2080, 2153. The “half-life” of a lower-chlorinated PCB congener—that is, the time it takes for the amount in the body to fall by half—can be as short as a few months. </w:t>
      </w:r>
      <w:r w:rsidRPr="00C43543">
        <w:rPr>
          <w:i/>
          <w:iCs/>
          <w:szCs w:val="28"/>
          <w14:ligatures w14:val="standardContextual"/>
        </w:rPr>
        <w:t xml:space="preserve">See </w:t>
      </w:r>
      <w:r w:rsidRPr="00C43543">
        <w:rPr>
          <w:szCs w:val="28"/>
          <w14:ligatures w14:val="standardContextual"/>
        </w:rPr>
        <w:t xml:space="preserve">Tr. 1339, 2481. </w:t>
      </w:r>
      <w:proofErr w:type="gramStart"/>
      <w:r w:rsidRPr="00C43543">
        <w:rPr>
          <w:szCs w:val="28"/>
          <w14:ligatures w14:val="standardContextual"/>
        </w:rPr>
        <w:t>So</w:t>
      </w:r>
      <w:proofErr w:type="gramEnd"/>
      <w:r w:rsidRPr="00C43543">
        <w:rPr>
          <w:szCs w:val="28"/>
          <w14:ligatures w14:val="standardContextual"/>
        </w:rPr>
        <w:t xml:space="preserve"> blood samples won’t necessarily reveal exposure—especially when taken years after the actual exposure. Tr. 2080, 2149, 2251-52; </w:t>
      </w:r>
      <w:r w:rsidRPr="00C43543">
        <w:rPr>
          <w:i/>
          <w:iCs/>
          <w:szCs w:val="28"/>
          <w14:ligatures w14:val="standardContextual"/>
        </w:rPr>
        <w:t xml:space="preserve">see </w:t>
      </w:r>
      <w:r w:rsidRPr="00C43543">
        <w:rPr>
          <w:szCs w:val="28"/>
          <w14:ligatures w14:val="standardContextual"/>
        </w:rPr>
        <w:t xml:space="preserve">P-2305 at 11. Indeed, studies have shown that even contemporaneous blood tests of teachers definitively exposed to PCB air levels exceeding safe limits still “did not show elevated [blood] PCB concentrations.” P-1162 at 3; </w:t>
      </w:r>
      <w:r w:rsidRPr="00C43543">
        <w:rPr>
          <w:i/>
          <w:iCs/>
          <w:szCs w:val="28"/>
          <w14:ligatures w14:val="standardContextual"/>
        </w:rPr>
        <w:t xml:space="preserve">see </w:t>
      </w:r>
      <w:r w:rsidRPr="00C43543">
        <w:rPr>
          <w:szCs w:val="28"/>
          <w14:ligatures w14:val="standardContextual"/>
        </w:rPr>
        <w:t xml:space="preserve">P-4393 at 1. </w:t>
      </w:r>
    </w:p>
    <w:p w14:paraId="54D710CC" w14:textId="47548E5E" w:rsidR="0015778B" w:rsidRPr="00C43543" w:rsidRDefault="0015778B" w:rsidP="0015778B">
      <w:pPr>
        <w:pStyle w:val="BodyText"/>
        <w:rPr>
          <w:szCs w:val="28"/>
          <w14:ligatures w14:val="standardContextual"/>
        </w:rPr>
      </w:pPr>
      <w:r w:rsidRPr="00C43543">
        <w:rPr>
          <w:szCs w:val="28"/>
          <w14:ligatures w14:val="standardContextual"/>
        </w:rPr>
        <w:lastRenderedPageBreak/>
        <w:t xml:space="preserve">Given these findings, the federal Agency for Toxic Substances has recommended that, “except for large [PCB] exposures, blood should be collected quickly (days to weeks after exposure).” </w:t>
      </w:r>
      <w:r w:rsidR="009A70AD" w:rsidRPr="00C43543">
        <w:rPr>
          <w:szCs w:val="28"/>
          <w14:ligatures w14:val="standardContextual"/>
        </w:rPr>
        <w:t>P-</w:t>
      </w:r>
      <w:r w:rsidRPr="00C43543">
        <w:rPr>
          <w:szCs w:val="28"/>
          <w14:ligatures w14:val="standardContextual"/>
        </w:rPr>
        <w:t xml:space="preserve">1297 at 419. “The lack of obvious elevation months to years after exposure does not, of itself, indicate lack of exposure.” </w:t>
      </w:r>
      <w:r w:rsidRPr="00C43543">
        <w:rPr>
          <w:i/>
          <w:iCs/>
          <w:szCs w:val="28"/>
          <w14:ligatures w14:val="standardContextual"/>
        </w:rPr>
        <w:t>Id.</w:t>
      </w:r>
      <w:r w:rsidRPr="00C43543">
        <w:rPr>
          <w:szCs w:val="28"/>
          <w14:ligatures w14:val="standardContextual"/>
        </w:rPr>
        <w:t xml:space="preserve"> at 420; </w:t>
      </w:r>
      <w:r w:rsidRPr="00C43543">
        <w:rPr>
          <w:i/>
          <w:iCs/>
          <w:szCs w:val="28"/>
          <w14:ligatures w14:val="standardContextual"/>
        </w:rPr>
        <w:t xml:space="preserve">see also </w:t>
      </w:r>
      <w:r w:rsidR="009A70AD" w:rsidRPr="00C43543">
        <w:rPr>
          <w:i/>
          <w:iCs/>
          <w:szCs w:val="28"/>
          <w14:ligatures w14:val="standardContextual"/>
        </w:rPr>
        <w:br/>
      </w:r>
      <w:r w:rsidRPr="00C43543">
        <w:rPr>
          <w:szCs w:val="28"/>
          <w14:ligatures w14:val="standardContextual"/>
        </w:rPr>
        <w:t>P-4393 at 6; Tr. 1333-34 (“[E]</w:t>
      </w:r>
      <w:proofErr w:type="spellStart"/>
      <w:r w:rsidRPr="00C43543">
        <w:rPr>
          <w:szCs w:val="28"/>
          <w14:ligatures w14:val="standardContextual"/>
        </w:rPr>
        <w:t>ssentially</w:t>
      </w:r>
      <w:proofErr w:type="spellEnd"/>
      <w:r w:rsidRPr="00C43543">
        <w:rPr>
          <w:szCs w:val="28"/>
          <w14:ligatures w14:val="standardContextual"/>
        </w:rPr>
        <w:t xml:space="preserve"> silent” metabolites cannot be “measured in any blood sample.”). </w:t>
      </w:r>
    </w:p>
    <w:p w14:paraId="59AC57D2" w14:textId="0B166B05" w:rsidR="0015778B" w:rsidRPr="00C43543" w:rsidRDefault="0015778B" w:rsidP="0015778B">
      <w:pPr>
        <w:pStyle w:val="BodyText"/>
        <w:rPr>
          <w:szCs w:val="28"/>
          <w14:ligatures w14:val="standardContextual"/>
        </w:rPr>
      </w:pPr>
      <w:r w:rsidRPr="00C43543">
        <w:rPr>
          <w:szCs w:val="28"/>
          <w14:ligatures w14:val="standardContextual"/>
        </w:rPr>
        <w:t>Here, although the teachers were exposed to PCBs between 2011 and 2015, their blood samples weren’t taken until 2019. Tr. 1961. Unsurprisingly, with such a large gap, the tests didn’t reveal significantly elevated PCB levels. Tr. 2151. Neuropsychological testing, however, later showed that the teachers had suffered brain injur</w:t>
      </w:r>
      <w:r w:rsidR="00191AF1">
        <w:rPr>
          <w:szCs w:val="28"/>
          <w14:ligatures w14:val="standardContextual"/>
        </w:rPr>
        <w:t>ies</w:t>
      </w:r>
      <w:r w:rsidRPr="00C43543">
        <w:rPr>
          <w:szCs w:val="28"/>
          <w14:ligatures w14:val="standardContextual"/>
        </w:rPr>
        <w:t xml:space="preserve"> and significantly decreased cognitive function from exposure to lower-chlorinated PCBs. Tr. 1083, 1106-07, 1112, 1112-16. </w:t>
      </w:r>
    </w:p>
    <w:p w14:paraId="43B1FAD7"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42" w:name="_Toc107574529"/>
      <w:bookmarkStart w:id="43" w:name="_Toc109728333"/>
      <w:r w:rsidRPr="00C43543">
        <w:rPr>
          <w:rFonts w:ascii="Adobe Garamond Pro" w:hAnsi="Adobe Garamond Pro"/>
          <w14:ligatures w14:val="standardContextual"/>
        </w:rPr>
        <w:t>“Not a single shred of evidence”: Testing rules out all other potential causes of the teachers’ injuries.</w:t>
      </w:r>
      <w:bookmarkEnd w:id="42"/>
      <w:bookmarkEnd w:id="43"/>
    </w:p>
    <w:p w14:paraId="1DF0E4FF"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When the teachers first started feeling sick and noticing others doing the same, they theorized </w:t>
      </w:r>
      <w:proofErr w:type="gramStart"/>
      <w:r w:rsidRPr="00C43543">
        <w:rPr>
          <w:szCs w:val="28"/>
          <w14:ligatures w14:val="standardContextual"/>
        </w:rPr>
        <w:t>a number of</w:t>
      </w:r>
      <w:proofErr w:type="gramEnd"/>
      <w:r w:rsidRPr="00C43543">
        <w:rPr>
          <w:szCs w:val="28"/>
          <w14:ligatures w14:val="standardContextual"/>
        </w:rPr>
        <w:t xml:space="preserve"> possible causes—mold, dust mites, asbestos. Testing disproved them all.</w:t>
      </w:r>
    </w:p>
    <w:p w14:paraId="3D8DCAC7" w14:textId="7614689E" w:rsidR="0015778B" w:rsidRPr="00C43543" w:rsidRDefault="0015778B" w:rsidP="0015778B">
      <w:pPr>
        <w:pStyle w:val="BodyText"/>
        <w:rPr>
          <w:szCs w:val="28"/>
          <w14:ligatures w14:val="standardContextual"/>
        </w:rPr>
      </w:pPr>
      <w:r w:rsidRPr="00C43543">
        <w:rPr>
          <w:szCs w:val="28"/>
          <w14:ligatures w14:val="standardContextual"/>
        </w:rPr>
        <w:lastRenderedPageBreak/>
        <w:t>Numerous third parties concluded that “[t]here [</w:t>
      </w:r>
      <w:proofErr w:type="spellStart"/>
      <w:r w:rsidRPr="00C43543">
        <w:rPr>
          <w:szCs w:val="28"/>
          <w14:ligatures w14:val="standardContextual"/>
        </w:rPr>
        <w:t>wa</w:t>
      </w:r>
      <w:proofErr w:type="spellEnd"/>
      <w:r w:rsidRPr="00C43543">
        <w:rPr>
          <w:szCs w:val="28"/>
          <w14:ligatures w14:val="standardContextual"/>
        </w:rPr>
        <w:t>]s not a single shred of evidence” of a mold problem at Sky Valley. Tr. 2347</w:t>
      </w:r>
      <w:r w:rsidR="00191AF1">
        <w:rPr>
          <w:szCs w:val="28"/>
          <w14:ligatures w14:val="standardContextual"/>
        </w:rPr>
        <w:t>-</w:t>
      </w:r>
      <w:r w:rsidRPr="00C43543">
        <w:rPr>
          <w:szCs w:val="28"/>
          <w14:ligatures w14:val="standardContextual"/>
        </w:rPr>
        <w:t xml:space="preserve">48. In 2014, the school brought in EHSI, an indoor environmental consulting company, to do an inspection. Tr. 1766. EHSI’s test results “d[id] not indicate an indoor mold problem.” Tr. 1768; P-1755 at 11. EHSI conducted no PCB testing during its inspection. Tr. 1767. A different company, NVL Labs, reached the same conclusion in February 2016. </w:t>
      </w:r>
      <w:r w:rsidRPr="00C43543">
        <w:rPr>
          <w:i/>
          <w:iCs/>
          <w:szCs w:val="28"/>
          <w14:ligatures w14:val="standardContextual"/>
        </w:rPr>
        <w:t xml:space="preserve">See </w:t>
      </w:r>
      <w:r w:rsidRPr="00C43543">
        <w:rPr>
          <w:szCs w:val="28"/>
          <w14:ligatures w14:val="standardContextual"/>
        </w:rPr>
        <w:t xml:space="preserve">Tr. 1803-04; P-2351 at 3 (“No fungal growth detected.”). So did the PBS indoor air quality assessment that was conducted later in 2016. Tr. 1804-05, 1809-10. Monsanto’s own inspectors never found any mold either. Tr. 1810. </w:t>
      </w:r>
    </w:p>
    <w:p w14:paraId="03A8FA5B" w14:textId="77777777" w:rsidR="0015778B" w:rsidRPr="00C43543" w:rsidRDefault="0015778B" w:rsidP="0015778B">
      <w:pPr>
        <w:pStyle w:val="BodyText"/>
        <w:rPr>
          <w:szCs w:val="28"/>
          <w14:ligatures w14:val="standardContextual"/>
        </w:rPr>
      </w:pPr>
      <w:r w:rsidRPr="00C43543">
        <w:rPr>
          <w:szCs w:val="28"/>
          <w14:ligatures w14:val="standardContextual"/>
        </w:rPr>
        <w:t>Mold, then, couldn’t have caused the teachers’ brain damage. Tr. 2249-50, 2347-51, 2366. Nor could dust mites or asbestos, the other hypothesized causes, neither of which were ever detected in meaningful quantities at the school. Tr. 1708, 1770, 1810-11.</w:t>
      </w:r>
    </w:p>
    <w:p w14:paraId="0499222B"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By contrast, as discussed above, testing did reveal the presence of lower-chlorinated PCBs in the school environment—in light ballasts, caulk, carpets, and elsewhere. And this was the case even though the testing was conducted after Sky Valley had completed extensive remediation of the buildings. Starting in 2014, the school </w:t>
      </w:r>
      <w:r w:rsidRPr="00C43543">
        <w:rPr>
          <w:szCs w:val="28"/>
          <w14:ligatures w14:val="standardContextual"/>
        </w:rPr>
        <w:lastRenderedPageBreak/>
        <w:t xml:space="preserve">began a two-year project to clean and repair light fixtures, replace light ballasts with more modern non-PCB-containing models, remove contaminated carpet, clean inaccessible surfaces, and improve ventilation. Tr. 1704-05, 1764-66, 1780-83, 2062-68. </w:t>
      </w:r>
    </w:p>
    <w:p w14:paraId="01C08C70" w14:textId="07FE7262" w:rsidR="0015778B" w:rsidRPr="00C43543" w:rsidRDefault="0015778B" w:rsidP="0015778B">
      <w:pPr>
        <w:pStyle w:val="BodyText"/>
        <w:rPr>
          <w:szCs w:val="28"/>
          <w14:ligatures w14:val="standardContextual"/>
        </w:rPr>
      </w:pPr>
      <w:r w:rsidRPr="00C43543">
        <w:rPr>
          <w:szCs w:val="28"/>
          <w14:ligatures w14:val="standardContextual"/>
        </w:rPr>
        <w:t xml:space="preserve">This remediation meant that the school environment in 2016 was significantly different from what it had been when the teachers developed their symptoms. </w:t>
      </w:r>
      <w:proofErr w:type="gramStart"/>
      <w:r w:rsidRPr="00C43543">
        <w:rPr>
          <w:szCs w:val="28"/>
          <w14:ligatures w14:val="standardContextual"/>
        </w:rPr>
        <w:t>So</w:t>
      </w:r>
      <w:proofErr w:type="gramEnd"/>
      <w:r w:rsidRPr="00C43543">
        <w:rPr>
          <w:szCs w:val="28"/>
          <w14:ligatures w14:val="standardContextual"/>
        </w:rPr>
        <w:t xml:space="preserve"> the air testing that PBS conducted in February and May 2016—which itself turned up some evidence of PCB contamination—could only hint at “the atmosphere [the] teachers were exposed to during their, roughly, four years in the school.” Tr. 1784. Air tests conducted after May 2016 </w:t>
      </w:r>
      <w:r w:rsidR="009A70AD" w:rsidRPr="00C43543">
        <w:rPr>
          <w:szCs w:val="28"/>
          <w14:ligatures w14:val="standardContextual"/>
        </w:rPr>
        <w:t xml:space="preserve">(which detected “elevated” PCB levels in a number of rooms) </w:t>
      </w:r>
      <w:r w:rsidRPr="00C43543">
        <w:rPr>
          <w:szCs w:val="28"/>
          <w14:ligatures w14:val="standardContextual"/>
        </w:rPr>
        <w:t xml:space="preserve">were even less useful, because by then the school had removed nearly all the light fixtures and begun “caulking remediation work.” </w:t>
      </w:r>
      <w:r w:rsidR="009A70AD" w:rsidRPr="00C43543">
        <w:rPr>
          <w:szCs w:val="28"/>
          <w14:ligatures w14:val="standardContextual"/>
        </w:rPr>
        <w:t xml:space="preserve">P-2122; </w:t>
      </w:r>
      <w:r w:rsidRPr="00C43543">
        <w:rPr>
          <w:szCs w:val="28"/>
          <w14:ligatures w14:val="standardContextual"/>
        </w:rPr>
        <w:t xml:space="preserve">Tr. 1786-87. The dust samples that PBS analyzed were similarly flawed: </w:t>
      </w:r>
      <w:r w:rsidR="00191AF1">
        <w:rPr>
          <w:szCs w:val="28"/>
          <w14:ligatures w14:val="standardContextual"/>
        </w:rPr>
        <w:t>T</w:t>
      </w:r>
      <w:r w:rsidRPr="00C43543">
        <w:rPr>
          <w:szCs w:val="28"/>
          <w14:ligatures w14:val="standardContextual"/>
        </w:rPr>
        <w:t>hey came from “walking surfaces, like concrete floors, walls, table legs,” which “would not capture and hold onto the dust that accumulates over time.” Tr. 1801, 2073.</w:t>
      </w:r>
    </w:p>
    <w:p w14:paraId="52D85CBC" w14:textId="77777777" w:rsidR="0015778B" w:rsidRPr="00C43543" w:rsidRDefault="0015778B" w:rsidP="0015778B">
      <w:pPr>
        <w:pStyle w:val="Heading3"/>
        <w:numPr>
          <w:ilvl w:val="3"/>
          <w:numId w:val="42"/>
        </w:numPr>
        <w:rPr>
          <w:rFonts w:ascii="Adobe Garamond Pro" w:hAnsi="Adobe Garamond Pro"/>
          <w14:ligatures w14:val="standardContextual"/>
        </w:rPr>
      </w:pPr>
      <w:bookmarkStart w:id="44" w:name="_Toc107574530"/>
      <w:bookmarkStart w:id="45" w:name="_Toc109728334"/>
      <w:r w:rsidRPr="00C43543">
        <w:rPr>
          <w:rFonts w:ascii="Adobe Garamond Pro" w:hAnsi="Adobe Garamond Pro"/>
          <w14:ligatures w14:val="standardContextual"/>
        </w:rPr>
        <w:lastRenderedPageBreak/>
        <w:t>“An irreversible event”: The teachers’ permanent brain damage has caused them serious and ongoing harm.</w:t>
      </w:r>
      <w:bookmarkEnd w:id="44"/>
      <w:bookmarkEnd w:id="45"/>
    </w:p>
    <w:p w14:paraId="516A6D0B"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Due to their health issues, the three teachers all left Sky Valley between 2015 and 2016. Tr. 3017, 3020, 3076, 3140. The permanent brain damage they each suffered from PCB exposure is serious, life-changing, and long-lasting. And it is highly unlikely that any of their brain injuries will heal over time: “PCB neurotoxicity is an irreversible event, from which there is not ever going to be total recovery.” Tr. 2161; </w:t>
      </w:r>
      <w:r w:rsidRPr="00C43543">
        <w:rPr>
          <w:i/>
          <w:iCs/>
          <w:szCs w:val="28"/>
          <w14:ligatures w14:val="standardContextual"/>
        </w:rPr>
        <w:t>see</w:t>
      </w:r>
      <w:r w:rsidRPr="00C43543">
        <w:rPr>
          <w:szCs w:val="28"/>
          <w14:ligatures w14:val="standardContextual"/>
        </w:rPr>
        <w:t xml:space="preserve"> Tr. 2258, 2274.</w:t>
      </w:r>
    </w:p>
    <w:p w14:paraId="7AE61A2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All three teachers suffer from a constellation of neurological symptoms—including severe headaches, brain fog, memory and attention problems, fatigue, and other cognitive dysfunction—that have fundamentally altered their personal and professional lives. Tr. 2864, 2866-67, 2936, 3015-18, 3030-33, 3079, 3111-15, 3142-48. </w:t>
      </w:r>
    </w:p>
    <w:p w14:paraId="68875916"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Ms. Leahy, for example, had to retire early because she could no longer keep up with the demands of her job. Tr. 3148. As a result of her brain injuries, this former star teacher—among the most “loved,” “dedicated,” and “respected” to have ever taught at Sky Valley, Tr. 2543-44—now finds it difficult to do even the simplest of tasks. Tr. 3142-47. Sometimes, it takes her two hours just to make a </w:t>
      </w:r>
      <w:r w:rsidRPr="00C43543">
        <w:rPr>
          <w:szCs w:val="28"/>
          <w14:ligatures w14:val="standardContextual"/>
        </w:rPr>
        <w:lastRenderedPageBreak/>
        <w:t>pot of coffee. Tr. 3147-48. The “trauma” caused by her injuries has “taken [a] toll on [her] life”; she has not only retired from teaching but moved across the state to Spokane to avoid meeting people who knew her at Sky Valley. Tr. 3145-46. As she explained at trial: “[W]</w:t>
      </w:r>
      <w:proofErr w:type="spellStart"/>
      <w:r w:rsidRPr="00C43543">
        <w:rPr>
          <w:szCs w:val="28"/>
          <w14:ligatures w14:val="standardContextual"/>
        </w:rPr>
        <w:t>hen</w:t>
      </w:r>
      <w:proofErr w:type="spellEnd"/>
      <w:r w:rsidRPr="00C43543">
        <w:rPr>
          <w:szCs w:val="28"/>
          <w14:ligatures w14:val="standardContextual"/>
        </w:rPr>
        <w:t xml:space="preserve"> you lose your career because of health and it’s not your fault, it affects you so much.” Tr. 3146.</w:t>
      </w:r>
    </w:p>
    <w:p w14:paraId="2B717CEE" w14:textId="77777777" w:rsidR="0015778B" w:rsidRPr="00C43543" w:rsidRDefault="0015778B" w:rsidP="0015778B">
      <w:pPr>
        <w:pStyle w:val="Heading3"/>
        <w:rPr>
          <w:rFonts w:ascii="Adobe Garamond Pro" w:hAnsi="Adobe Garamond Pro"/>
          <w14:ligatures w14:val="standardContextual"/>
        </w:rPr>
      </w:pPr>
      <w:bookmarkStart w:id="46" w:name="_Toc109728335"/>
      <w:r w:rsidRPr="00C43543">
        <w:rPr>
          <w:rFonts w:ascii="Adobe Garamond Pro" w:hAnsi="Adobe Garamond Pro"/>
          <w14:ligatures w14:val="standardContextual"/>
        </w:rPr>
        <w:t>The teachers file this lawsuit and—following extensive discovery, over a hundred depositions, 115 pretrial motions, and a seven-week trial—a jury returns a verdict in their favor.</w:t>
      </w:r>
      <w:bookmarkEnd w:id="46"/>
      <w:r w:rsidRPr="00C43543">
        <w:rPr>
          <w:rFonts w:ascii="Adobe Garamond Pro" w:hAnsi="Adobe Garamond Pro"/>
          <w14:ligatures w14:val="standardContextual"/>
        </w:rPr>
        <w:t xml:space="preserve"> </w:t>
      </w:r>
    </w:p>
    <w:p w14:paraId="3BD28B6E" w14:textId="53360880" w:rsidR="0015778B" w:rsidRPr="00C43543" w:rsidRDefault="0015778B" w:rsidP="0015778B">
      <w:pPr>
        <w:pStyle w:val="BodyText"/>
        <w:rPr>
          <w:szCs w:val="28"/>
          <w14:ligatures w14:val="standardContextual"/>
        </w:rPr>
      </w:pPr>
      <w:r w:rsidRPr="00C43543">
        <w:rPr>
          <w:szCs w:val="28"/>
          <w14:ligatures w14:val="standardContextual"/>
        </w:rPr>
        <w:t>After discovering that PCBs caused their brain damage, Ms. Erickson, Ms. Marquardt, Ms. Leahy, and her husband filed this suit to hold Monsanto accountable. Two hundred other Sky Valley teachers, students, and family members filed similar claims, for a total of 1</w:t>
      </w:r>
      <w:r w:rsidR="009A70AD" w:rsidRPr="00C43543">
        <w:rPr>
          <w:szCs w:val="28"/>
          <w14:ligatures w14:val="standardContextual"/>
        </w:rPr>
        <w:t>7</w:t>
      </w:r>
      <w:r w:rsidRPr="00C43543">
        <w:rPr>
          <w:szCs w:val="28"/>
          <w14:ligatures w14:val="standardContextual"/>
        </w:rPr>
        <w:t xml:space="preserve"> suits filed over 13 months. </w:t>
      </w:r>
    </w:p>
    <w:p w14:paraId="173BD40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The plaintiffs here were the first to have their day in court. But trial began only after three years of sweeping discovery and motion practice: 142 depositions, disclosure of voluminous personal and medical histories, and retention of over a dozen experts. In total, the court ruled on 115 separate pre-trial motions.  </w:t>
      </w:r>
    </w:p>
    <w:p w14:paraId="6D42CF6F" w14:textId="1334C143" w:rsidR="0015778B" w:rsidRPr="00C43543" w:rsidRDefault="0015778B" w:rsidP="0015778B">
      <w:pPr>
        <w:pStyle w:val="BodyText"/>
        <w:rPr>
          <w:szCs w:val="28"/>
          <w14:ligatures w14:val="standardContextual"/>
        </w:rPr>
      </w:pPr>
      <w:r w:rsidRPr="00C43543">
        <w:rPr>
          <w:szCs w:val="28"/>
          <w14:ligatures w14:val="standardContextual"/>
        </w:rPr>
        <w:lastRenderedPageBreak/>
        <w:t>The parties’ arguments were presented to two judges—Judge Richardson and later Judge North, who took a fresh look at multiple issues on which Judge Richardson had ruled. The judges ruled for both sides on key issues. To Monsanto’s benefit, the court granted multiple motions to exclude evidence, including among the most straightforward evidence of the company’s wrongdoing: the falsification of IBT’s toxicology testing</w:t>
      </w:r>
      <w:r w:rsidR="00240B4D" w:rsidRPr="00C43543">
        <w:rPr>
          <w:szCs w:val="28"/>
          <w14:ligatures w14:val="standardContextual"/>
        </w:rPr>
        <w:t xml:space="preserve"> of PCBs</w:t>
      </w:r>
      <w:r w:rsidRPr="00C43543">
        <w:rPr>
          <w:szCs w:val="28"/>
          <w14:ligatures w14:val="standardContextual"/>
        </w:rPr>
        <w:t xml:space="preserve">. </w:t>
      </w:r>
      <w:r w:rsidRPr="00C43543">
        <w:rPr>
          <w:i/>
          <w:iCs/>
          <w:szCs w:val="28"/>
          <w14:ligatures w14:val="standardContextual"/>
        </w:rPr>
        <w:t xml:space="preserve">See </w:t>
      </w:r>
      <w:r w:rsidRPr="00C43543">
        <w:rPr>
          <w:szCs w:val="28"/>
          <w14:ligatures w14:val="standardContextual"/>
        </w:rPr>
        <w:t>CP 13688.</w:t>
      </w:r>
    </w:p>
    <w:p w14:paraId="371CD7ED" w14:textId="77777777" w:rsidR="0015778B" w:rsidRPr="00C43543" w:rsidRDefault="0015778B" w:rsidP="0015778B">
      <w:pPr>
        <w:pStyle w:val="BodyText"/>
        <w:rPr>
          <w:szCs w:val="28"/>
          <w14:ligatures w14:val="standardContextual"/>
        </w:rPr>
      </w:pPr>
      <w:r w:rsidRPr="00C43543">
        <w:rPr>
          <w:szCs w:val="28"/>
          <w14:ligatures w14:val="standardContextual"/>
        </w:rPr>
        <w:t>Trial finally began in June 2021 on four claims: (1) design defect, based on the unreasonable danger of PCBs; (2) construction defect, based on the contamination of Monsanto’s PCBs by even more highly toxic furans; (3) failure to warn at the time of sale; and (4) failure to warn post-sale when Monsanto obtained ever more evidence of the extent of PCBs’ dangers.</w:t>
      </w:r>
    </w:p>
    <w:p w14:paraId="689469A6"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Over the seven-week trial, Monsanto challenged nearly every facet of the plaintiffs’ case. It subjected each witness to rigorous cross-examination and offered one or more expert witnesses to match each of the </w:t>
      </w:r>
      <w:proofErr w:type="gramStart"/>
      <w:r w:rsidRPr="00C43543">
        <w:rPr>
          <w:szCs w:val="28"/>
          <w14:ligatures w14:val="standardContextual"/>
        </w:rPr>
        <w:t>plaintiffs’</w:t>
      </w:r>
      <w:proofErr w:type="gramEnd"/>
      <w:r w:rsidRPr="00C43543">
        <w:rPr>
          <w:szCs w:val="28"/>
          <w14:ligatures w14:val="standardContextual"/>
        </w:rPr>
        <w:t xml:space="preserve">. The jury, too, had an opportunity to question each expert directly. </w:t>
      </w:r>
    </w:p>
    <w:p w14:paraId="20A5FB3E" w14:textId="77777777" w:rsidR="0015778B" w:rsidRPr="00C43543" w:rsidRDefault="0015778B" w:rsidP="0015778B">
      <w:pPr>
        <w:pStyle w:val="BodyText"/>
        <w:rPr>
          <w:szCs w:val="28"/>
          <w14:ligatures w14:val="standardContextual"/>
        </w:rPr>
      </w:pPr>
      <w:r w:rsidRPr="00C43543">
        <w:rPr>
          <w:szCs w:val="28"/>
          <w14:ligatures w14:val="standardContextual"/>
        </w:rPr>
        <w:t xml:space="preserve">After two days of deliberation, the jury returned a verdict for the plaintiffs on each claim. Reflecting careful attention to the </w:t>
      </w:r>
      <w:r w:rsidRPr="00C43543">
        <w:rPr>
          <w:szCs w:val="28"/>
          <w14:ligatures w14:val="standardContextual"/>
        </w:rPr>
        <w:lastRenderedPageBreak/>
        <w:t xml:space="preserve">evidence, the jury awarded the teachers different damages: $15 million for Ms. Erickson, $18 million for Ms. Leahy, and $17 million for Ms. Marquardt. And reflecting its conclusion that Monsanto’s conduct warranted serious punishment, the jury awarded $45 million in punitive damages to each plaintiff, a ratio of 3:1 (or less). </w:t>
      </w:r>
    </w:p>
    <w:p w14:paraId="2C8F2EED" w14:textId="2C4DD54A" w:rsidR="0015778B" w:rsidRPr="00C43543" w:rsidRDefault="0015778B" w:rsidP="00745D10">
      <w:pPr>
        <w:pStyle w:val="BodyText"/>
        <w:rPr>
          <w:szCs w:val="28"/>
          <w14:ligatures w14:val="standardContextual"/>
        </w:rPr>
      </w:pPr>
      <w:r w:rsidRPr="00C43543">
        <w:rPr>
          <w:szCs w:val="28"/>
          <w14:ligatures w14:val="standardContextual"/>
        </w:rPr>
        <w:t>Following the verdict, three more groups went to trial and two verdicts went for the plaintiffs. In the second case, the jury awarded eight plaintiffs a total of $27,135,000 in compensatory damages and $35,000,000 in punitive damages. In the third, it awarded four plaintiffs a total of $5,683,000 in compensatory damages and $15,690,000 in punitive damages. The most recent trial resulted in a hung jury. A fifth trial is set for August.</w:t>
      </w:r>
    </w:p>
    <w:p w14:paraId="2216D9A1" w14:textId="2E159EB1" w:rsidR="00C2203C" w:rsidRPr="00C43543" w:rsidRDefault="00887786" w:rsidP="0046406A">
      <w:pPr>
        <w:pStyle w:val="Heading1"/>
        <w:rPr>
          <w:rFonts w:ascii="Adobe Garamond Pro" w:hAnsi="Adobe Garamond Pro"/>
          <w14:ligatures w14:val="standardContextual"/>
        </w:rPr>
      </w:pPr>
      <w:bookmarkStart w:id="47" w:name="_Toc109728336"/>
      <w:r w:rsidRPr="00C43543">
        <w:rPr>
          <w:rFonts w:ascii="Adobe Garamond Pro" w:hAnsi="Adobe Garamond Pro"/>
          <w14:ligatures w14:val="standardContextual"/>
        </w:rPr>
        <w:t>ARGUMENT</w:t>
      </w:r>
      <w:bookmarkEnd w:id="19"/>
      <w:bookmarkEnd w:id="47"/>
    </w:p>
    <w:p w14:paraId="65B70DD0" w14:textId="77777777" w:rsidR="00DF4DD8" w:rsidRPr="00C43543" w:rsidRDefault="00DF4DD8" w:rsidP="00FC3399">
      <w:pPr>
        <w:pStyle w:val="Heading2"/>
        <w:rPr>
          <w:rFonts w:ascii="Adobe Garamond Pro" w:hAnsi="Adobe Garamond Pro"/>
          <w14:ligatures w14:val="standardContextual"/>
        </w:rPr>
      </w:pPr>
      <w:bookmarkStart w:id="48" w:name="_Toc109728337"/>
      <w:r w:rsidRPr="00C43543">
        <w:rPr>
          <w:rFonts w:ascii="Adobe Garamond Pro" w:hAnsi="Adobe Garamond Pro"/>
          <w14:ligatures w14:val="standardContextual"/>
        </w:rPr>
        <w:t>The trial court’s decision to apply Missouri law correctly followed half a century of Washington choice-of-law precedent mandating application of the most interested state’s law to each issue in the case.</w:t>
      </w:r>
      <w:bookmarkEnd w:id="48"/>
    </w:p>
    <w:p w14:paraId="3A99DDF2" w14:textId="6F00F21C" w:rsidR="00DF4DD8" w:rsidRPr="00C43543" w:rsidRDefault="00DF4DD8" w:rsidP="00DF4DD8">
      <w:pPr>
        <w:pStyle w:val="BodyText"/>
        <w:rPr>
          <w:szCs w:val="28"/>
          <w14:ligatures w14:val="standardContextual"/>
        </w:rPr>
      </w:pPr>
      <w:r w:rsidRPr="00C43543">
        <w:rPr>
          <w:szCs w:val="28"/>
          <w14:ligatures w14:val="standardContextual"/>
        </w:rPr>
        <w:t xml:space="preserve">From its Missouri headquarters, Monsanto </w:t>
      </w:r>
      <w:r w:rsidR="00EA0305" w:rsidRPr="00C43543">
        <w:rPr>
          <w:szCs w:val="28"/>
          <w14:ligatures w14:val="standardContextual"/>
        </w:rPr>
        <w:t>directed</w:t>
      </w:r>
      <w:r w:rsidRPr="00C43543">
        <w:rPr>
          <w:szCs w:val="28"/>
          <w14:ligatures w14:val="standardContextual"/>
        </w:rPr>
        <w:t xml:space="preserve"> a decades-long campaign to </w:t>
      </w:r>
      <w:r w:rsidR="00A107E5" w:rsidRPr="00C43543">
        <w:rPr>
          <w:szCs w:val="28"/>
          <w14:ligatures w14:val="standardContextual"/>
        </w:rPr>
        <w:t>sell PCBs while actively concealing their danger to human health</w:t>
      </w:r>
      <w:r w:rsidRPr="00C43543">
        <w:rPr>
          <w:szCs w:val="28"/>
          <w14:ligatures w14:val="standardContextual"/>
        </w:rPr>
        <w:t xml:space="preserve">. Missouri has a powerful sovereign interest in punishing Monsanto for </w:t>
      </w:r>
      <w:r w:rsidR="00BA4345" w:rsidRPr="00C43543">
        <w:rPr>
          <w:szCs w:val="28"/>
          <w14:ligatures w14:val="standardContextual"/>
        </w:rPr>
        <w:t xml:space="preserve">engaging in that </w:t>
      </w:r>
      <w:r w:rsidRPr="00C43543">
        <w:rPr>
          <w:szCs w:val="28"/>
          <w14:ligatures w14:val="standardContextual"/>
        </w:rPr>
        <w:t>conduct</w:t>
      </w:r>
      <w:r w:rsidR="00BA4345" w:rsidRPr="00C43543">
        <w:rPr>
          <w:szCs w:val="28"/>
          <w14:ligatures w14:val="standardContextual"/>
        </w:rPr>
        <w:t xml:space="preserve"> </w:t>
      </w:r>
      <w:r w:rsidRPr="00C43543">
        <w:rPr>
          <w:szCs w:val="28"/>
          <w14:ligatures w14:val="standardContextual"/>
        </w:rPr>
        <w:t xml:space="preserve">within its borders, and in deterring others from engaging in similar conduct </w:t>
      </w:r>
      <w:r w:rsidR="00EA0305" w:rsidRPr="00C43543">
        <w:rPr>
          <w:szCs w:val="28"/>
          <w14:ligatures w14:val="standardContextual"/>
        </w:rPr>
        <w:lastRenderedPageBreak/>
        <w:t>in Missouri</w:t>
      </w:r>
      <w:r w:rsidRPr="00C43543">
        <w:rPr>
          <w:szCs w:val="28"/>
          <w14:ligatures w14:val="standardContextual"/>
        </w:rPr>
        <w:t>. That would be obvious if Missouri were to punish th</w:t>
      </w:r>
      <w:r w:rsidR="00D7732F" w:rsidRPr="00C43543">
        <w:rPr>
          <w:szCs w:val="28"/>
          <w14:ligatures w14:val="standardContextual"/>
        </w:rPr>
        <w:t>is</w:t>
      </w:r>
      <w:r w:rsidRPr="00C43543">
        <w:rPr>
          <w:szCs w:val="28"/>
          <w14:ligatures w14:val="standardContextual"/>
        </w:rPr>
        <w:t xml:space="preserve"> conduct through its criminal law. It should be just as obvious in a civil case over </w:t>
      </w:r>
      <w:r w:rsidR="00D7732F" w:rsidRPr="00C43543">
        <w:rPr>
          <w:szCs w:val="28"/>
          <w14:ligatures w14:val="standardContextual"/>
        </w:rPr>
        <w:t xml:space="preserve">the same </w:t>
      </w:r>
      <w:r w:rsidRPr="00C43543">
        <w:rPr>
          <w:szCs w:val="28"/>
          <w14:ligatures w14:val="standardContextual"/>
        </w:rPr>
        <w:t>conduct</w:t>
      </w:r>
      <w:r w:rsidR="00D7732F" w:rsidRPr="00C43543">
        <w:rPr>
          <w:szCs w:val="28"/>
          <w14:ligatures w14:val="standardContextual"/>
        </w:rPr>
        <w:t>, conduct</w:t>
      </w:r>
      <w:r w:rsidRPr="00C43543">
        <w:rPr>
          <w:szCs w:val="28"/>
          <w14:ligatures w14:val="standardContextual"/>
        </w:rPr>
        <w:t xml:space="preserve"> that demonstrates conscious disregard for the safety of others—the standard for punitive damages. Missouri has an equally strong interest in ensuring that companies within its borders do not </w:t>
      </w:r>
      <w:r w:rsidR="00A107E5" w:rsidRPr="00C43543">
        <w:rPr>
          <w:szCs w:val="28"/>
          <w14:ligatures w14:val="standardContextual"/>
        </w:rPr>
        <w:t>enjoy</w:t>
      </w:r>
      <w:r w:rsidRPr="00C43543">
        <w:rPr>
          <w:szCs w:val="28"/>
          <w14:ligatures w14:val="standardContextual"/>
        </w:rPr>
        <w:t xml:space="preserve"> repose when their egregious conduct, by design, takes decades to come to light. And that interest is particularly strong whe</w:t>
      </w:r>
      <w:r w:rsidR="00D7732F" w:rsidRPr="00C43543">
        <w:rPr>
          <w:szCs w:val="28"/>
          <w14:ligatures w14:val="standardContextual"/>
        </w:rPr>
        <w:t>re</w:t>
      </w:r>
      <w:r w:rsidRPr="00C43543">
        <w:rPr>
          <w:szCs w:val="28"/>
          <w14:ligatures w14:val="standardContextual"/>
        </w:rPr>
        <w:t>, as here, the company might</w:t>
      </w:r>
      <w:r w:rsidRPr="00C43543">
        <w:rPr>
          <w:color w:val="FF0000"/>
          <w:szCs w:val="28"/>
          <w14:ligatures w14:val="standardContextual"/>
        </w:rPr>
        <w:t xml:space="preserve"> </w:t>
      </w:r>
      <w:r w:rsidRPr="00C43543">
        <w:rPr>
          <w:szCs w:val="28"/>
          <w14:ligatures w14:val="standardContextual"/>
        </w:rPr>
        <w:t>otherwise</w:t>
      </w:r>
      <w:r w:rsidRPr="00C43543">
        <w:rPr>
          <w:color w:val="FF0000"/>
          <w:szCs w:val="28"/>
          <w14:ligatures w14:val="standardContextual"/>
        </w:rPr>
        <w:t xml:space="preserve"> </w:t>
      </w:r>
      <w:r w:rsidRPr="00C43543">
        <w:rPr>
          <w:szCs w:val="28"/>
          <w14:ligatures w14:val="standardContextual"/>
        </w:rPr>
        <w:t xml:space="preserve">escape liability for misconduct serious enough to warrant punitive sanctions. </w:t>
      </w:r>
    </w:p>
    <w:p w14:paraId="3BE470A5" w14:textId="0D62C2F7" w:rsidR="00DF4DD8" w:rsidRPr="00C43543" w:rsidRDefault="00DF4DD8" w:rsidP="00DF4DD8">
      <w:pPr>
        <w:pStyle w:val="BodyText"/>
        <w:rPr>
          <w:szCs w:val="28"/>
          <w14:ligatures w14:val="standardContextual"/>
        </w:rPr>
      </w:pPr>
      <w:r w:rsidRPr="00C43543">
        <w:rPr>
          <w:szCs w:val="28"/>
          <w14:ligatures w14:val="standardContextual"/>
        </w:rPr>
        <w:t xml:space="preserve">Under </w:t>
      </w:r>
      <w:r w:rsidR="00A107E5" w:rsidRPr="00C43543">
        <w:rPr>
          <w:szCs w:val="28"/>
          <w14:ligatures w14:val="standardContextual"/>
        </w:rPr>
        <w:t xml:space="preserve">Washington’s </w:t>
      </w:r>
      <w:r w:rsidRPr="00C43543">
        <w:rPr>
          <w:szCs w:val="28"/>
          <w14:ligatures w14:val="standardContextual"/>
        </w:rPr>
        <w:t>established choice-of-law rules, these</w:t>
      </w:r>
      <w:r w:rsidR="00BA4345" w:rsidRPr="00C43543">
        <w:rPr>
          <w:szCs w:val="28"/>
          <w14:ligatures w14:val="standardContextual"/>
        </w:rPr>
        <w:t xml:space="preserve"> important</w:t>
      </w:r>
      <w:r w:rsidRPr="00C43543">
        <w:rPr>
          <w:szCs w:val="28"/>
          <w14:ligatures w14:val="standardContextual"/>
        </w:rPr>
        <w:t xml:space="preserve"> sovereign interests mandate</w:t>
      </w:r>
      <w:r w:rsidR="00BA4345" w:rsidRPr="00C43543">
        <w:rPr>
          <w:szCs w:val="28"/>
          <w14:ligatures w14:val="standardContextual"/>
        </w:rPr>
        <w:t xml:space="preserve"> the</w:t>
      </w:r>
      <w:r w:rsidRPr="00C43543">
        <w:rPr>
          <w:szCs w:val="28"/>
          <w14:ligatures w14:val="standardContextual"/>
        </w:rPr>
        <w:t xml:space="preserve"> application of Missouri law on punitive damages and the applicable period of repose.</w:t>
      </w:r>
    </w:p>
    <w:p w14:paraId="45C23AB7" w14:textId="77777777" w:rsidR="00DF4DD8" w:rsidRPr="00C43543" w:rsidRDefault="00DF4DD8" w:rsidP="00FC3399">
      <w:pPr>
        <w:pStyle w:val="Heading3"/>
        <w:rPr>
          <w:rFonts w:ascii="Adobe Garamond Pro" w:hAnsi="Adobe Garamond Pro"/>
          <w14:ligatures w14:val="standardContextual"/>
        </w:rPr>
      </w:pPr>
      <w:bookmarkStart w:id="49" w:name="_Toc109728338"/>
      <w:r w:rsidRPr="00C43543">
        <w:rPr>
          <w:rFonts w:ascii="Adobe Garamond Pro" w:hAnsi="Adobe Garamond Pro"/>
          <w14:ligatures w14:val="standardContextual"/>
        </w:rPr>
        <w:t>Washington’s choice-of-law test requires issue-by-issue analysis of each state’s interests and policies.</w:t>
      </w:r>
      <w:bookmarkEnd w:id="49"/>
    </w:p>
    <w:p w14:paraId="475350FA" w14:textId="3D19D697" w:rsidR="00DF4DD8" w:rsidRPr="00C43543" w:rsidRDefault="00DF4DD8" w:rsidP="00DF4DD8">
      <w:pPr>
        <w:pStyle w:val="BodyText"/>
        <w:rPr>
          <w:szCs w:val="28"/>
          <w14:ligatures w14:val="standardContextual"/>
        </w:rPr>
      </w:pPr>
      <w:r w:rsidRPr="00C43543">
        <w:rPr>
          <w:szCs w:val="28"/>
          <w14:ligatures w14:val="standardContextual"/>
        </w:rPr>
        <w:t xml:space="preserve">Almost half a century ago, the Supreme Court in </w:t>
      </w:r>
      <w:r w:rsidRPr="00C43543">
        <w:rPr>
          <w:i/>
          <w:iCs/>
          <w:szCs w:val="28"/>
          <w14:ligatures w14:val="standardContextual"/>
        </w:rPr>
        <w:t xml:space="preserve">Johnson v. Spider Staging </w:t>
      </w:r>
      <w:r w:rsidRPr="00C43543">
        <w:rPr>
          <w:szCs w:val="28"/>
          <w14:ligatures w14:val="standardContextual"/>
        </w:rPr>
        <w:t>adopted the choice-of-law test from the Restatement (Second) of Conflict of Laws, which applies the law of the state with the “most significant relationship” to an “issue in tort.” 87 Wn.2d 577, 580</w:t>
      </w:r>
      <w:r w:rsidR="007D7FF2" w:rsidRPr="00C43543">
        <w:rPr>
          <w:szCs w:val="28"/>
          <w14:ligatures w14:val="standardContextual"/>
        </w:rPr>
        <w:t xml:space="preserve">, 555 P.2d 997 </w:t>
      </w:r>
      <w:r w:rsidRPr="00C43543">
        <w:rPr>
          <w:szCs w:val="28"/>
          <w14:ligatures w14:val="standardContextual"/>
        </w:rPr>
        <w:t>(1976)</w:t>
      </w:r>
      <w:r w:rsidR="009301ED" w:rsidRPr="00C43543">
        <w:rPr>
          <w:szCs w:val="28"/>
          <w14:ligatures w14:val="standardContextual"/>
        </w:rPr>
        <w:fldChar w:fldCharType="begin"/>
      </w:r>
      <w:r w:rsidR="009301ED" w:rsidRPr="00C43543">
        <w:rPr>
          <w:szCs w:val="28"/>
          <w14:ligatures w14:val="standardContextual"/>
        </w:rPr>
        <w:instrText xml:space="preserve"> TA \s "Spider Staging Co., 87 Wn.2d 577" </w:instrText>
      </w:r>
      <w:r w:rsidR="009301ED" w:rsidRPr="00C43543">
        <w:rPr>
          <w:szCs w:val="28"/>
          <w14:ligatures w14:val="standardContextual"/>
        </w:rPr>
        <w:fldChar w:fldCharType="end"/>
      </w:r>
      <w:r w:rsidRPr="00C43543">
        <w:rPr>
          <w:szCs w:val="28"/>
          <w14:ligatures w14:val="standardContextual"/>
        </w:rPr>
        <w:t xml:space="preserve">. The Court set forth a two-part test to </w:t>
      </w:r>
      <w:r w:rsidRPr="00C43543">
        <w:rPr>
          <w:szCs w:val="28"/>
          <w14:ligatures w14:val="standardContextual"/>
        </w:rPr>
        <w:lastRenderedPageBreak/>
        <w:t xml:space="preserve">determine the state with the greatest interest. First, a court evaluates each state’s connections to the case. </w:t>
      </w:r>
      <w:r w:rsidRPr="00C43543">
        <w:rPr>
          <w:i/>
          <w:iCs/>
          <w:szCs w:val="28"/>
          <w14:ligatures w14:val="standardContextual"/>
        </w:rPr>
        <w:t>See id.</w:t>
      </w:r>
      <w:r w:rsidRPr="00C43543">
        <w:rPr>
          <w:szCs w:val="28"/>
          <w14:ligatures w14:val="standardContextual"/>
        </w:rPr>
        <w:t xml:space="preserve"> at 580-81</w:t>
      </w:r>
      <w:r w:rsidR="009301ED" w:rsidRPr="00C43543">
        <w:rPr>
          <w:szCs w:val="28"/>
          <w14:ligatures w14:val="standardContextual"/>
        </w:rPr>
        <w:fldChar w:fldCharType="begin"/>
      </w:r>
      <w:r w:rsidR="009301ED" w:rsidRPr="00C43543">
        <w:rPr>
          <w:szCs w:val="28"/>
          <w14:ligatures w14:val="standardContextual"/>
        </w:rPr>
        <w:instrText xml:space="preserve"> TA \s "Spider Staging Co., 87 Wn.2d 577" </w:instrText>
      </w:r>
      <w:r w:rsidR="009301ED" w:rsidRPr="00C43543">
        <w:rPr>
          <w:szCs w:val="28"/>
          <w14:ligatures w14:val="standardContextual"/>
        </w:rPr>
        <w:fldChar w:fldCharType="end"/>
      </w:r>
      <w:r w:rsidRPr="00C43543">
        <w:rPr>
          <w:szCs w:val="28"/>
          <w14:ligatures w14:val="standardContextual"/>
        </w:rPr>
        <w:t xml:space="preserve">. If </w:t>
      </w:r>
      <w:r w:rsidR="00240B4D" w:rsidRPr="00C43543">
        <w:rPr>
          <w:szCs w:val="28"/>
          <w14:ligatures w14:val="standardContextual"/>
        </w:rPr>
        <w:t xml:space="preserve">those connections </w:t>
      </w:r>
      <w:r w:rsidRPr="00C43543">
        <w:rPr>
          <w:szCs w:val="28"/>
          <w14:ligatures w14:val="standardContextual"/>
        </w:rPr>
        <w:t>point clearly to one state, that state’s laws apply. But if they</w:t>
      </w:r>
      <w:r w:rsidR="007D7FF2" w:rsidRPr="00C43543">
        <w:rPr>
          <w:szCs w:val="28"/>
          <w14:ligatures w14:val="standardContextual"/>
        </w:rPr>
        <w:t xml:space="preserve"> are</w:t>
      </w:r>
      <w:r w:rsidRPr="00C43543">
        <w:rPr>
          <w:szCs w:val="28"/>
          <w14:ligatures w14:val="standardContextual"/>
        </w:rPr>
        <w:t xml:space="preserve"> “evenly balanced,” the court proceeds at the second step to consider each state’s “interests and public policies.” </w:t>
      </w:r>
      <w:r w:rsidRPr="00C43543">
        <w:rPr>
          <w:i/>
          <w:iCs/>
          <w:szCs w:val="28"/>
          <w14:ligatures w14:val="standardContextual"/>
        </w:rPr>
        <w:t>Id.</w:t>
      </w:r>
      <w:r w:rsidRPr="00C43543">
        <w:rPr>
          <w:szCs w:val="28"/>
          <w14:ligatures w14:val="standardContextual"/>
        </w:rPr>
        <w:t xml:space="preserve"> at 582</w:t>
      </w:r>
      <w:r w:rsidR="009301ED" w:rsidRPr="00C43543">
        <w:rPr>
          <w:szCs w:val="28"/>
          <w14:ligatures w14:val="standardContextual"/>
        </w:rPr>
        <w:fldChar w:fldCharType="begin"/>
      </w:r>
      <w:r w:rsidR="009301ED" w:rsidRPr="00C43543">
        <w:rPr>
          <w:szCs w:val="28"/>
          <w14:ligatures w14:val="standardContextual"/>
        </w:rPr>
        <w:instrText xml:space="preserve"> TA \s "Spider Staging Co., 87 Wn.2d 577" </w:instrText>
      </w:r>
      <w:r w:rsidR="009301ED" w:rsidRPr="00C43543">
        <w:rPr>
          <w:szCs w:val="28"/>
          <w14:ligatures w14:val="standardContextual"/>
        </w:rPr>
        <w:fldChar w:fldCharType="end"/>
      </w:r>
      <w:r w:rsidRPr="00C43543">
        <w:rPr>
          <w:szCs w:val="28"/>
          <w14:ligatures w14:val="standardContextual"/>
        </w:rPr>
        <w:t>.</w:t>
      </w:r>
    </w:p>
    <w:p w14:paraId="62566022" w14:textId="20DE3DA6" w:rsidR="00DF4DD8" w:rsidRPr="00C43543" w:rsidRDefault="00DF4DD8" w:rsidP="00DF4DD8">
      <w:pPr>
        <w:pStyle w:val="BodyText"/>
        <w:rPr>
          <w:szCs w:val="28"/>
          <w14:ligatures w14:val="standardContextual"/>
        </w:rPr>
      </w:pPr>
      <w:r w:rsidRPr="00C43543">
        <w:rPr>
          <w:szCs w:val="28"/>
          <w14:ligatures w14:val="standardContextual"/>
        </w:rPr>
        <w:t>“Each issue” under this test “receive[s] separate consideration.” Restatement (Second) of Conflict of Laws § 145</w:t>
      </w:r>
      <w:r w:rsidR="009301ED" w:rsidRPr="00C43543">
        <w:rPr>
          <w:szCs w:val="28"/>
          <w14:ligatures w14:val="standardContextual"/>
        </w:rPr>
        <w:fldChar w:fldCharType="begin"/>
      </w:r>
      <w:r w:rsidR="009301ED" w:rsidRPr="00C43543">
        <w:rPr>
          <w:szCs w:val="28"/>
          <w14:ligatures w14:val="standardContextual"/>
        </w:rPr>
        <w:instrText xml:space="preserve"> TA \l "Restatement (Second) of Conflict of Laws § 145" \s "Restatement (Second) of Conflict of Laws § 145" \c 3 </w:instrText>
      </w:r>
      <w:r w:rsidR="009301ED" w:rsidRPr="00C43543">
        <w:rPr>
          <w:szCs w:val="28"/>
          <w14:ligatures w14:val="standardContextual"/>
        </w:rPr>
        <w:fldChar w:fldCharType="end"/>
      </w:r>
      <w:r w:rsidRPr="00C43543">
        <w:rPr>
          <w:szCs w:val="28"/>
          <w14:ligatures w14:val="standardContextual"/>
        </w:rPr>
        <w:t xml:space="preserve">, </w:t>
      </w:r>
      <w:proofErr w:type="spellStart"/>
      <w:r w:rsidRPr="00C43543">
        <w:rPr>
          <w:szCs w:val="28"/>
          <w14:ligatures w14:val="standardContextual"/>
        </w:rPr>
        <w:t>cmt</w:t>
      </w:r>
      <w:proofErr w:type="spellEnd"/>
      <w:r w:rsidRPr="00C43543">
        <w:rPr>
          <w:szCs w:val="28"/>
          <w14:ligatures w14:val="standardContextual"/>
        </w:rPr>
        <w:t xml:space="preserve">. d. It is thus common for “different issues in a single case” to be “decided according to the substantive law of different states”—a rule “sometimes referred to as </w:t>
      </w:r>
      <w:proofErr w:type="spellStart"/>
      <w:r w:rsidRPr="00C43543">
        <w:rPr>
          <w:szCs w:val="28"/>
          <w14:ligatures w14:val="standardContextual"/>
        </w:rPr>
        <w:t>depecage</w:t>
      </w:r>
      <w:proofErr w:type="spellEnd"/>
      <w:r w:rsidRPr="00C43543">
        <w:rPr>
          <w:szCs w:val="28"/>
          <w14:ligatures w14:val="standardContextual"/>
        </w:rPr>
        <w:t xml:space="preserve">.” </w:t>
      </w:r>
      <w:r w:rsidRPr="00C43543">
        <w:rPr>
          <w:i/>
          <w:iCs/>
          <w:szCs w:val="28"/>
          <w14:ligatures w14:val="standardContextual"/>
        </w:rPr>
        <w:t>Pope Res</w:t>
      </w:r>
      <w:r w:rsidR="00FA0353" w:rsidRPr="00C43543">
        <w:rPr>
          <w:i/>
          <w:iCs/>
          <w:szCs w:val="28"/>
          <w14:ligatures w14:val="standardContextual"/>
        </w:rPr>
        <w:t>.</w:t>
      </w:r>
      <w:r w:rsidRPr="00C43543">
        <w:rPr>
          <w:i/>
          <w:iCs/>
          <w:szCs w:val="28"/>
          <w14:ligatures w14:val="standardContextual"/>
        </w:rPr>
        <w:t xml:space="preserve"> L.P. v. Certain Underwriters at Lloyd’s, London</w:t>
      </w:r>
      <w:r w:rsidRPr="00C43543">
        <w:rPr>
          <w:szCs w:val="28"/>
          <w14:ligatures w14:val="standardContextual"/>
        </w:rPr>
        <w:t xml:space="preserve">, </w:t>
      </w:r>
      <w:r w:rsidR="00FA0353" w:rsidRPr="00C43543">
        <w:rPr>
          <w:szCs w:val="28"/>
          <w14:ligatures w14:val="standardContextual"/>
        </w:rPr>
        <w:t xml:space="preserve">19 </w:t>
      </w:r>
      <w:proofErr w:type="spellStart"/>
      <w:r w:rsidR="00FA0353" w:rsidRPr="00C43543">
        <w:rPr>
          <w:szCs w:val="28"/>
          <w14:ligatures w14:val="standardContextual"/>
        </w:rPr>
        <w:t>Wn</w:t>
      </w:r>
      <w:proofErr w:type="spellEnd"/>
      <w:r w:rsidR="00FA0353" w:rsidRPr="00C43543">
        <w:rPr>
          <w:szCs w:val="28"/>
          <w14:ligatures w14:val="standardContextual"/>
        </w:rPr>
        <w:t xml:space="preserve">. App. 2d 113, 123 n.21, 494 P.3d 1076 </w:t>
      </w:r>
      <w:r w:rsidRPr="00C43543">
        <w:rPr>
          <w:szCs w:val="28"/>
          <w14:ligatures w14:val="standardContextual"/>
        </w:rPr>
        <w:t>(2021)</w:t>
      </w:r>
      <w:r w:rsidR="00F828C8" w:rsidRPr="00C43543">
        <w:rPr>
          <w:szCs w:val="28"/>
          <w14:ligatures w14:val="standardContextual"/>
        </w:rPr>
        <w:fldChar w:fldCharType="begin"/>
      </w:r>
      <w:r w:rsidR="00F828C8" w:rsidRPr="00C43543">
        <w:rPr>
          <w:szCs w:val="28"/>
          <w14:ligatures w14:val="standardContextual"/>
        </w:rPr>
        <w:instrText xml:space="preserve"> TA \l "</w:instrText>
      </w:r>
      <w:r w:rsidR="00F828C8" w:rsidRPr="00C43543">
        <w:rPr>
          <w:i/>
          <w:iCs/>
          <w:szCs w:val="28"/>
          <w14:ligatures w14:val="standardContextual"/>
        </w:rPr>
        <w:instrText>Pope Resources L.P. v. Certain Underwriters at Lloyd’s, London</w:instrText>
      </w:r>
      <w:r w:rsidR="00F828C8" w:rsidRPr="00C43543">
        <w:rPr>
          <w:szCs w:val="28"/>
          <w14:ligatures w14:val="standardContextual"/>
        </w:rPr>
        <w:instrText>,</w:instrText>
      </w:r>
      <w:r w:rsidR="00F828C8" w:rsidRPr="00C43543">
        <w:rPr>
          <w:szCs w:val="28"/>
          <w14:ligatures w14:val="standardContextual"/>
        </w:rPr>
        <w:br/>
        <w:instrText xml:space="preserve">19 Wn. App. 2d 113, 494 P.3d 1076 (2021)" \s "Pope Res. L.P., 19 Wn. App. 2d 113" \c 1 </w:instrText>
      </w:r>
      <w:r w:rsidR="00F828C8" w:rsidRPr="00C43543">
        <w:rPr>
          <w:szCs w:val="28"/>
          <w14:ligatures w14:val="standardContextual"/>
        </w:rPr>
        <w:fldChar w:fldCharType="end"/>
      </w:r>
      <w:r w:rsidRPr="00C43543">
        <w:rPr>
          <w:szCs w:val="28"/>
          <w14:ligatures w14:val="standardContextual"/>
        </w:rPr>
        <w:t xml:space="preserve">. The doctrine of </w:t>
      </w:r>
      <w:proofErr w:type="spellStart"/>
      <w:r w:rsidRPr="00C43543">
        <w:rPr>
          <w:szCs w:val="28"/>
          <w14:ligatures w14:val="standardContextual"/>
        </w:rPr>
        <w:t>depecage</w:t>
      </w:r>
      <w:proofErr w:type="spellEnd"/>
      <w:r w:rsidRPr="00C43543">
        <w:rPr>
          <w:szCs w:val="28"/>
          <w14:ligatures w14:val="standardContextual"/>
        </w:rPr>
        <w:t xml:space="preserve"> provides for “application to each issue of the rule of the state with the greatest concern in the determination of that issue.” Reese, </w:t>
      </w:r>
      <w:proofErr w:type="spellStart"/>
      <w:r w:rsidRPr="00C43543">
        <w:rPr>
          <w:i/>
          <w:iCs/>
          <w:szCs w:val="28"/>
          <w14:ligatures w14:val="standardContextual"/>
        </w:rPr>
        <w:t>Depecage</w:t>
      </w:r>
      <w:proofErr w:type="spellEnd"/>
      <w:r w:rsidRPr="00C43543">
        <w:rPr>
          <w:i/>
          <w:iCs/>
          <w:szCs w:val="28"/>
          <w14:ligatures w14:val="standardContextual"/>
        </w:rPr>
        <w:t>: A Common Phenomenon in Choice of Law</w:t>
      </w:r>
      <w:r w:rsidRPr="00C43543">
        <w:rPr>
          <w:szCs w:val="28"/>
          <w14:ligatures w14:val="standardContextual"/>
        </w:rPr>
        <w:t>, 73 Colum. L. Rev. 58, 60 (1973)</w:t>
      </w:r>
      <w:r w:rsidR="00F828C8" w:rsidRPr="00C43543">
        <w:rPr>
          <w:szCs w:val="28"/>
          <w14:ligatures w14:val="standardContextual"/>
        </w:rPr>
        <w:fldChar w:fldCharType="begin"/>
      </w:r>
      <w:r w:rsidR="00F828C8" w:rsidRPr="00C43543">
        <w:rPr>
          <w:szCs w:val="28"/>
          <w14:ligatures w14:val="standardContextual"/>
        </w:rPr>
        <w:instrText xml:space="preserve"> TA \l "Willis L. M. Reese, </w:instrText>
      </w:r>
      <w:r w:rsidR="00F828C8" w:rsidRPr="00C43543">
        <w:rPr>
          <w:i/>
          <w:iCs/>
          <w:szCs w:val="28"/>
          <w14:ligatures w14:val="standardContextual"/>
        </w:rPr>
        <w:instrText>Depecage: A Common Phenomenon in Choice of Law</w:instrText>
      </w:r>
      <w:r w:rsidR="00F828C8" w:rsidRPr="00C43543">
        <w:rPr>
          <w:szCs w:val="28"/>
          <w14:ligatures w14:val="standardContextual"/>
        </w:rPr>
        <w:instrText xml:space="preserve">, 73 Colum. L. Rev. 58 (1973)" \s "Willis L. M. Reese, Depecage: A Common Phenomenon in Choice of Law, 73 Colum. L. Rev. 58, 60 (1973)" \c 3 </w:instrText>
      </w:r>
      <w:r w:rsidR="00F828C8" w:rsidRPr="00C43543">
        <w:rPr>
          <w:szCs w:val="28"/>
          <w14:ligatures w14:val="standardContextual"/>
        </w:rPr>
        <w:fldChar w:fldCharType="end"/>
      </w:r>
      <w:r w:rsidRPr="00C43543">
        <w:rPr>
          <w:szCs w:val="28"/>
          <w14:ligatures w14:val="standardContextual"/>
        </w:rPr>
        <w:t xml:space="preserve">. Courts applying </w:t>
      </w:r>
      <w:proofErr w:type="spellStart"/>
      <w:r w:rsidRPr="00C43543">
        <w:rPr>
          <w:szCs w:val="28"/>
          <w14:ligatures w14:val="standardContextual"/>
        </w:rPr>
        <w:t>depecage</w:t>
      </w:r>
      <w:proofErr w:type="spellEnd"/>
      <w:r w:rsidRPr="00C43543">
        <w:rPr>
          <w:szCs w:val="28"/>
          <w14:ligatures w14:val="standardContextual"/>
        </w:rPr>
        <w:t xml:space="preserve"> have allowed “severance of statutes of limitations, questions of individual causation, damages, and affirmative defenses in accordance with different states’ law.” </w:t>
      </w:r>
      <w:r w:rsidRPr="00C43543">
        <w:rPr>
          <w:i/>
          <w:iCs/>
          <w:szCs w:val="28"/>
          <w14:ligatures w14:val="standardContextual"/>
        </w:rPr>
        <w:t>Simon v. Philip Morris Inc.</w:t>
      </w:r>
      <w:r w:rsidRPr="00C43543">
        <w:rPr>
          <w:szCs w:val="28"/>
          <w14:ligatures w14:val="standardContextual"/>
        </w:rPr>
        <w:t>, 124 F. Supp. 2d 46, 7</w:t>
      </w:r>
      <w:r w:rsidR="00FA0353" w:rsidRPr="00C43543">
        <w:rPr>
          <w:szCs w:val="28"/>
          <w14:ligatures w14:val="standardContextual"/>
        </w:rPr>
        <w:t>5</w:t>
      </w:r>
      <w:r w:rsidRPr="00C43543">
        <w:rPr>
          <w:szCs w:val="28"/>
          <w14:ligatures w14:val="standardContextual"/>
        </w:rPr>
        <w:t xml:space="preserve"> (E.D.N.Y. 2000)</w:t>
      </w:r>
      <w:r w:rsidR="00F828C8" w:rsidRPr="00C43543">
        <w:rPr>
          <w:szCs w:val="28"/>
          <w14:ligatures w14:val="standardContextual"/>
        </w:rPr>
        <w:fldChar w:fldCharType="begin"/>
      </w:r>
      <w:r w:rsidR="00F828C8" w:rsidRPr="00C43543">
        <w:rPr>
          <w:szCs w:val="28"/>
          <w14:ligatures w14:val="standardContextual"/>
        </w:rPr>
        <w:instrText xml:space="preserve"> TA \l "</w:instrText>
      </w:r>
      <w:r w:rsidR="00F828C8" w:rsidRPr="00C43543">
        <w:rPr>
          <w:i/>
          <w:iCs/>
          <w:szCs w:val="28"/>
          <w14:ligatures w14:val="standardContextual"/>
        </w:rPr>
        <w:instrText>Simon v. Philip Morris Inc.</w:instrText>
      </w:r>
      <w:r w:rsidR="00F828C8" w:rsidRPr="00C43543">
        <w:rPr>
          <w:szCs w:val="28"/>
          <w14:ligatures w14:val="standardContextual"/>
        </w:rPr>
        <w:instrText>,</w:instrText>
      </w:r>
      <w:r w:rsidR="00F828C8" w:rsidRPr="00C43543">
        <w:rPr>
          <w:szCs w:val="28"/>
          <w14:ligatures w14:val="standardContextual"/>
        </w:rPr>
        <w:br/>
        <w:instrText xml:space="preserve">124 F. Supp. 2d 46 (E.D.N.Y. 2000)" \s "Simon v. Philip Morris, 124 F. Supp. 2d 46" \c 1 </w:instrText>
      </w:r>
      <w:r w:rsidR="00F828C8" w:rsidRPr="00C43543">
        <w:rPr>
          <w:szCs w:val="28"/>
          <w14:ligatures w14:val="standardContextual"/>
        </w:rPr>
        <w:fldChar w:fldCharType="end"/>
      </w:r>
      <w:r w:rsidRPr="00C43543">
        <w:rPr>
          <w:szCs w:val="28"/>
          <w14:ligatures w14:val="standardContextual"/>
        </w:rPr>
        <w:t xml:space="preserve">. </w:t>
      </w:r>
    </w:p>
    <w:p w14:paraId="26B2E5F9" w14:textId="37AB033E" w:rsidR="00DF4DD8" w:rsidRPr="00C43543" w:rsidRDefault="00DF4DD8" w:rsidP="00DF4DD8">
      <w:pPr>
        <w:pStyle w:val="BodyText"/>
        <w:rPr>
          <w:szCs w:val="28"/>
          <w14:ligatures w14:val="standardContextual"/>
        </w:rPr>
      </w:pPr>
      <w:r w:rsidRPr="00C43543">
        <w:rPr>
          <w:szCs w:val="28"/>
          <w14:ligatures w14:val="standardContextual"/>
        </w:rPr>
        <w:lastRenderedPageBreak/>
        <w:t xml:space="preserve">In circumstances comparable to this case, the Supreme Court in </w:t>
      </w:r>
      <w:r w:rsidRPr="00C43543">
        <w:rPr>
          <w:i/>
          <w:iCs/>
          <w:szCs w:val="28"/>
          <w14:ligatures w14:val="standardContextual"/>
        </w:rPr>
        <w:t xml:space="preserve">Spider Staging </w:t>
      </w:r>
      <w:r w:rsidRPr="00C43543">
        <w:rPr>
          <w:szCs w:val="28"/>
          <w14:ligatures w14:val="standardContextual"/>
        </w:rPr>
        <w:t xml:space="preserve">applied its two-part choice-of-law test to deny a company the benefit of a state-law cap on damages in a product-liability case. The plaintiff in </w:t>
      </w:r>
      <w:r w:rsidRPr="00C43543">
        <w:rPr>
          <w:i/>
          <w:iCs/>
          <w:szCs w:val="28"/>
          <w14:ligatures w14:val="standardContextual"/>
        </w:rPr>
        <w:t xml:space="preserve">Spider Staging </w:t>
      </w:r>
      <w:r w:rsidRPr="00C43543">
        <w:rPr>
          <w:szCs w:val="28"/>
          <w14:ligatures w14:val="standardContextual"/>
        </w:rPr>
        <w:t>was injured in Kansas by defective scaffolding designed and manufactured by the company in Washington. 87 Wn.2d at 5</w:t>
      </w:r>
      <w:r w:rsidR="00DE5EFF" w:rsidRPr="00C43543">
        <w:rPr>
          <w:szCs w:val="28"/>
          <w14:ligatures w14:val="standardContextual"/>
        </w:rPr>
        <w:t>7</w:t>
      </w:r>
      <w:r w:rsidRPr="00C43543">
        <w:rPr>
          <w:szCs w:val="28"/>
          <w14:ligatures w14:val="standardContextual"/>
        </w:rPr>
        <w:t>8</w:t>
      </w:r>
      <w:r w:rsidR="00F828C8" w:rsidRPr="00C43543">
        <w:rPr>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szCs w:val="28"/>
          <w14:ligatures w14:val="standardContextual"/>
        </w:rPr>
        <w:fldChar w:fldCharType="end"/>
      </w:r>
      <w:r w:rsidRPr="00C43543">
        <w:rPr>
          <w:szCs w:val="28"/>
          <w14:ligatures w14:val="standardContextual"/>
        </w:rPr>
        <w:t xml:space="preserve">. The plaintiff sued in Washington, and the company invoked Kansas’s $50,000 cap on damages—raising a conflict with Washington law, which imposed no damages cap. </w:t>
      </w:r>
      <w:r w:rsidRPr="00C43543">
        <w:rPr>
          <w:i/>
          <w:iCs/>
          <w:szCs w:val="28"/>
          <w14:ligatures w14:val="standardContextual"/>
        </w:rPr>
        <w:t>Id.</w:t>
      </w:r>
      <w:r w:rsidRPr="00C43543">
        <w:rPr>
          <w:szCs w:val="28"/>
          <w14:ligatures w14:val="standardContextual"/>
        </w:rPr>
        <w:t xml:space="preserve"> at 578-79.</w:t>
      </w:r>
      <w:r w:rsidR="00F828C8" w:rsidRPr="00C43543">
        <w:rPr>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szCs w:val="28"/>
          <w14:ligatures w14:val="standardContextual"/>
        </w:rPr>
        <w:fldChar w:fldCharType="end"/>
      </w:r>
    </w:p>
    <w:p w14:paraId="382D5155" w14:textId="17535FE2" w:rsidR="00DF4DD8" w:rsidRPr="00C43543" w:rsidRDefault="00DF4DD8" w:rsidP="00DF4DD8">
      <w:pPr>
        <w:pStyle w:val="BodyText"/>
        <w:rPr>
          <w:szCs w:val="28"/>
          <w14:ligatures w14:val="standardContextual"/>
        </w:rPr>
      </w:pPr>
      <w:r w:rsidRPr="00C43543">
        <w:rPr>
          <w:szCs w:val="28"/>
          <w14:ligatures w14:val="standardContextual"/>
        </w:rPr>
        <w:t xml:space="preserve">On the first step of the test, the Court found that the states’ contacts were “evenly balanced,” requiring an evaluation of the relative interests in Kansas’s damages limit. </w:t>
      </w:r>
      <w:r w:rsidRPr="00C43543">
        <w:rPr>
          <w:i/>
          <w:iCs/>
          <w:szCs w:val="28"/>
          <w14:ligatures w14:val="standardContextual"/>
        </w:rPr>
        <w:t>Id.</w:t>
      </w:r>
      <w:r w:rsidRPr="00C43543">
        <w:rPr>
          <w:szCs w:val="28"/>
          <w14:ligatures w14:val="standardContextual"/>
        </w:rPr>
        <w:t xml:space="preserve"> at 582</w:t>
      </w:r>
      <w:r w:rsidR="00F828C8" w:rsidRPr="00C43543">
        <w:rPr>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szCs w:val="28"/>
          <w14:ligatures w14:val="standardContextual"/>
        </w:rPr>
        <w:fldChar w:fldCharType="end"/>
      </w:r>
      <w:r w:rsidRPr="00C43543">
        <w:rPr>
          <w:szCs w:val="28"/>
          <w14:ligatures w14:val="standardContextual"/>
        </w:rPr>
        <w:t xml:space="preserve">. On the second step, it found that Kansas had “no interest” in limiting the damages of “nonresident defendants being sued in their home state.” </w:t>
      </w:r>
      <w:r w:rsidRPr="00C43543">
        <w:rPr>
          <w:i/>
          <w:iCs/>
          <w:szCs w:val="28"/>
          <w14:ligatures w14:val="standardContextual"/>
        </w:rPr>
        <w:t>Id.</w:t>
      </w:r>
      <w:r w:rsidRPr="00C43543">
        <w:rPr>
          <w:szCs w:val="28"/>
          <w14:ligatures w14:val="standardContextual"/>
        </w:rPr>
        <w:t xml:space="preserve"> at 583-84.</w:t>
      </w:r>
      <w:r w:rsidR="00F828C8" w:rsidRPr="00C43543">
        <w:rPr>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szCs w:val="28"/>
          <w14:ligatures w14:val="standardContextual"/>
        </w:rPr>
        <w:fldChar w:fldCharType="end"/>
      </w:r>
      <w:r w:rsidRPr="00C43543">
        <w:rPr>
          <w:szCs w:val="28"/>
          <w14:ligatures w14:val="standardContextual"/>
        </w:rPr>
        <w:t xml:space="preserve"> Washington’s policy of providing “full compensation” to plaintiffs, on the other hand, was “clearly advanced by the application of its own law.” </w:t>
      </w:r>
      <w:r w:rsidRPr="00C43543">
        <w:rPr>
          <w:i/>
          <w:iCs/>
          <w:szCs w:val="28"/>
          <w14:ligatures w14:val="standardContextual"/>
        </w:rPr>
        <w:t>Id.</w:t>
      </w:r>
      <w:r w:rsidRPr="00C43543">
        <w:rPr>
          <w:szCs w:val="28"/>
          <w14:ligatures w14:val="standardContextual"/>
        </w:rPr>
        <w:t xml:space="preserve"> at 583.</w:t>
      </w:r>
      <w:r w:rsidR="00F828C8" w:rsidRPr="00C43543">
        <w:rPr>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szCs w:val="28"/>
          <w14:ligatures w14:val="standardContextual"/>
        </w:rPr>
        <w:fldChar w:fldCharType="end"/>
      </w:r>
      <w:r w:rsidRPr="00C43543">
        <w:rPr>
          <w:szCs w:val="28"/>
          <w14:ligatures w14:val="standardContextual"/>
        </w:rPr>
        <w:t xml:space="preserve"> Allowing “[u]</w:t>
      </w:r>
      <w:proofErr w:type="spellStart"/>
      <w:r w:rsidRPr="00C43543">
        <w:rPr>
          <w:szCs w:val="28"/>
          <w14:ligatures w14:val="standardContextual"/>
        </w:rPr>
        <w:t>nlimited</w:t>
      </w:r>
      <w:proofErr w:type="spellEnd"/>
      <w:r w:rsidRPr="00C43543">
        <w:rPr>
          <w:szCs w:val="28"/>
          <w14:ligatures w14:val="standardContextual"/>
        </w:rPr>
        <w:t xml:space="preserve"> recovery,” the Court explained, would “deter tortious conduct” and “encourage respondents to make safe products for its customers.” </w:t>
      </w:r>
      <w:r w:rsidRPr="00C43543">
        <w:rPr>
          <w:i/>
          <w:iCs/>
          <w:szCs w:val="28"/>
          <w14:ligatures w14:val="standardContextual"/>
        </w:rPr>
        <w:t>Id.</w:t>
      </w:r>
      <w:r w:rsidR="00F828C8" w:rsidRPr="00C43543">
        <w:rPr>
          <w:i/>
          <w:iCs/>
          <w:szCs w:val="28"/>
          <w14:ligatures w14:val="standardContextual"/>
        </w:rPr>
        <w:fldChar w:fldCharType="begin"/>
      </w:r>
      <w:r w:rsidR="00F828C8" w:rsidRPr="00C43543">
        <w:rPr>
          <w:szCs w:val="28"/>
          <w14:ligatures w14:val="standardContextual"/>
        </w:rPr>
        <w:instrText xml:space="preserve"> TA \s "Spider Staging Co., 87 Wn.2d 577" </w:instrText>
      </w:r>
      <w:r w:rsidR="00F828C8" w:rsidRPr="00C43543">
        <w:rPr>
          <w:i/>
          <w:iCs/>
          <w:szCs w:val="28"/>
          <w14:ligatures w14:val="standardContextual"/>
        </w:rPr>
        <w:fldChar w:fldCharType="end"/>
      </w:r>
      <w:r w:rsidRPr="00C43543">
        <w:rPr>
          <w:i/>
          <w:iCs/>
          <w:szCs w:val="28"/>
          <w14:ligatures w14:val="standardContextual"/>
        </w:rPr>
        <w:t xml:space="preserve"> </w:t>
      </w:r>
      <w:r w:rsidRPr="00C43543">
        <w:rPr>
          <w:szCs w:val="28"/>
          <w14:ligatures w14:val="standardContextual"/>
        </w:rPr>
        <w:t xml:space="preserve">The Court thus denied the company the benefit of the damages </w:t>
      </w:r>
      <w:r w:rsidRPr="00C43543">
        <w:rPr>
          <w:szCs w:val="28"/>
          <w14:ligatures w14:val="standardContextual"/>
        </w:rPr>
        <w:lastRenderedPageBreak/>
        <w:t xml:space="preserve">cap, applying instead the law of the company’s home state and the state where it committed the tortious acts. </w:t>
      </w:r>
    </w:p>
    <w:p w14:paraId="3D95F57B" w14:textId="7633AB4D" w:rsidR="00DF4DD8" w:rsidRPr="00C43543" w:rsidRDefault="00DF4DD8" w:rsidP="00DF4DD8">
      <w:pPr>
        <w:pStyle w:val="BodyText"/>
        <w:rPr>
          <w:szCs w:val="28"/>
          <w14:ligatures w14:val="standardContextual"/>
        </w:rPr>
      </w:pPr>
      <w:r w:rsidRPr="00C43543">
        <w:rPr>
          <w:szCs w:val="28"/>
          <w14:ligatures w14:val="standardContextual"/>
        </w:rPr>
        <w:t xml:space="preserve">This Court and the Supreme Court have repeatedly applied </w:t>
      </w:r>
      <w:r w:rsidRPr="00C43543">
        <w:rPr>
          <w:i/>
          <w:iCs/>
          <w:szCs w:val="28"/>
          <w14:ligatures w14:val="standardContextual"/>
        </w:rPr>
        <w:t xml:space="preserve">Spider Staging </w:t>
      </w:r>
      <w:r w:rsidRPr="00C43543">
        <w:rPr>
          <w:szCs w:val="28"/>
          <w14:ligatures w14:val="standardContextual"/>
        </w:rPr>
        <w:t xml:space="preserve">to both the availability of punitive damages and the period of repose in WPLA cases, holding that these issues are governed by the law of the state where the injury-causing conduct occurred.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e.g.</w:t>
      </w:r>
      <w:r w:rsidRPr="00C43543">
        <w:rPr>
          <w:szCs w:val="28"/>
          <w14:ligatures w14:val="standardContextual"/>
        </w:rPr>
        <w:t xml:space="preserve">, </w:t>
      </w:r>
      <w:bookmarkStart w:id="50" w:name="dabmci_2a8b7825a8e14a43840f13e6cf07f301"/>
      <w:bookmarkStart w:id="51" w:name="_Hlk92357897"/>
      <w:bookmarkStart w:id="52" w:name="dabmci_8123dad48d35438fa389ae2414636093"/>
      <w:r w:rsidR="00DE5EFF" w:rsidRPr="00C43543">
        <w:rPr>
          <w:i/>
          <w:iCs/>
          <w:szCs w:val="28"/>
          <w14:ligatures w14:val="standardContextual"/>
        </w:rPr>
        <w:t>Zenaida-Garcia v. Recovery Sys. Tech., Inc.</w:t>
      </w:r>
      <w:r w:rsidR="00DE5EFF" w:rsidRPr="00C43543">
        <w:rPr>
          <w:szCs w:val="28"/>
          <w14:ligatures w14:val="standardContextual"/>
        </w:rPr>
        <w:t xml:space="preserve">, 128 </w:t>
      </w:r>
      <w:proofErr w:type="spellStart"/>
      <w:r w:rsidR="00DE5EFF" w:rsidRPr="00C43543">
        <w:rPr>
          <w:szCs w:val="28"/>
          <w14:ligatures w14:val="standardContextual"/>
        </w:rPr>
        <w:t>Wn</w:t>
      </w:r>
      <w:proofErr w:type="spellEnd"/>
      <w:r w:rsidR="00DE5EFF" w:rsidRPr="00C43543">
        <w:rPr>
          <w:szCs w:val="28"/>
          <w14:ligatures w14:val="standardContextual"/>
        </w:rPr>
        <w:t>. App. 256, 115 P.3d 1017 (2005)</w:t>
      </w:r>
      <w:r w:rsidR="00F828C8" w:rsidRPr="00C43543">
        <w:rPr>
          <w:szCs w:val="28"/>
          <w14:ligatures w14:val="standardContextual"/>
        </w:rPr>
        <w:fldChar w:fldCharType="begin"/>
      </w:r>
      <w:r w:rsidR="00F828C8" w:rsidRPr="00C43543">
        <w:rPr>
          <w:szCs w:val="28"/>
          <w14:ligatures w14:val="standardContextual"/>
        </w:rPr>
        <w:instrText xml:space="preserve"> TA \s "Zenaida-Garcia, 128 Wn. App. 256" </w:instrText>
      </w:r>
      <w:r w:rsidR="00F828C8" w:rsidRPr="00C43543">
        <w:rPr>
          <w:szCs w:val="28"/>
          <w14:ligatures w14:val="standardContextual"/>
        </w:rPr>
        <w:fldChar w:fldCharType="end"/>
      </w:r>
      <w:r w:rsidR="00DE5EFF" w:rsidRPr="00C43543">
        <w:rPr>
          <w:szCs w:val="28"/>
          <w14:ligatures w14:val="standardContextual"/>
        </w:rPr>
        <w:t xml:space="preserve"> (statute of repose)</w:t>
      </w:r>
      <w:bookmarkEnd w:id="50"/>
      <w:bookmarkEnd w:id="51"/>
      <w:r w:rsidR="00DE5EFF" w:rsidRPr="00C43543">
        <w:rPr>
          <w:szCs w:val="28"/>
          <w14:ligatures w14:val="standardContextual"/>
        </w:rPr>
        <w:t xml:space="preserve">; </w:t>
      </w:r>
      <w:r w:rsidR="00DE5EFF" w:rsidRPr="00C43543">
        <w:rPr>
          <w:i/>
          <w:iCs/>
          <w:szCs w:val="28"/>
          <w14:ligatures w14:val="standardContextual"/>
        </w:rPr>
        <w:t xml:space="preserve">Singh v. Edwards </w:t>
      </w:r>
      <w:r w:rsidR="0024151D" w:rsidRPr="00C43543">
        <w:rPr>
          <w:i/>
          <w:iCs/>
          <w:szCs w:val="28"/>
          <w14:ligatures w14:val="standardContextual"/>
        </w:rPr>
        <w:t>Lifesciences</w:t>
      </w:r>
      <w:r w:rsidR="00DE5EFF" w:rsidRPr="00C43543">
        <w:rPr>
          <w:i/>
          <w:iCs/>
          <w:szCs w:val="28"/>
          <w14:ligatures w14:val="standardContextual"/>
        </w:rPr>
        <w:t xml:space="preserve"> Corp.</w:t>
      </w:r>
      <w:r w:rsidR="00DE5EFF" w:rsidRPr="00C43543">
        <w:rPr>
          <w:szCs w:val="28"/>
          <w14:ligatures w14:val="standardContextual"/>
        </w:rPr>
        <w:t xml:space="preserve">, 151 </w:t>
      </w:r>
      <w:proofErr w:type="spellStart"/>
      <w:r w:rsidR="00DE5EFF" w:rsidRPr="00C43543">
        <w:rPr>
          <w:szCs w:val="28"/>
          <w14:ligatures w14:val="standardContextual"/>
        </w:rPr>
        <w:t>Wn</w:t>
      </w:r>
      <w:proofErr w:type="spellEnd"/>
      <w:r w:rsidR="00DE5EFF" w:rsidRPr="00C43543">
        <w:rPr>
          <w:szCs w:val="28"/>
          <w14:ligatures w14:val="standardContextual"/>
        </w:rPr>
        <w:t>. App. 137, 143-48</w:t>
      </w:r>
      <w:bookmarkEnd w:id="52"/>
      <w:r w:rsidR="00DE5EFF" w:rsidRPr="00C43543">
        <w:rPr>
          <w:szCs w:val="28"/>
          <w14:ligatures w14:val="standardContextual"/>
        </w:rPr>
        <w:t>, 210 P.3d 337 (2009)</w:t>
      </w:r>
      <w:r w:rsidR="00F828C8" w:rsidRPr="00C43543">
        <w:rPr>
          <w:szCs w:val="28"/>
          <w14:ligatures w14:val="standardContextual"/>
        </w:rPr>
        <w:fldChar w:fldCharType="begin"/>
      </w:r>
      <w:r w:rsidR="00F828C8" w:rsidRPr="00C43543">
        <w:rPr>
          <w:szCs w:val="28"/>
          <w14:ligatures w14:val="standardContextual"/>
        </w:rPr>
        <w:instrText xml:space="preserve"> TA \s "Singh, 151 Wn. App. 137" </w:instrText>
      </w:r>
      <w:r w:rsidR="00F828C8" w:rsidRPr="00C43543">
        <w:rPr>
          <w:szCs w:val="28"/>
          <w14:ligatures w14:val="standardContextual"/>
        </w:rPr>
        <w:fldChar w:fldCharType="end"/>
      </w:r>
      <w:r w:rsidR="00DE5EFF" w:rsidRPr="00C43543">
        <w:rPr>
          <w:szCs w:val="28"/>
          <w14:ligatures w14:val="standardContextual"/>
        </w:rPr>
        <w:t xml:space="preserve"> </w:t>
      </w:r>
      <w:r w:rsidRPr="00C43543">
        <w:rPr>
          <w:szCs w:val="28"/>
          <w14:ligatures w14:val="standardContextual"/>
        </w:rPr>
        <w:t>(punitive damages). These decisions compel the same result here.</w:t>
      </w:r>
    </w:p>
    <w:p w14:paraId="3CF75417" w14:textId="77777777" w:rsidR="00DF4DD8" w:rsidRPr="00C43543" w:rsidRDefault="00DF4DD8" w:rsidP="00FC3399">
      <w:pPr>
        <w:pStyle w:val="Heading3"/>
        <w:rPr>
          <w:rFonts w:ascii="Adobe Garamond Pro" w:hAnsi="Adobe Garamond Pro"/>
          <w14:ligatures w14:val="standardContextual"/>
        </w:rPr>
      </w:pPr>
      <w:bookmarkStart w:id="53" w:name="_Toc109728339"/>
      <w:r w:rsidRPr="00C43543">
        <w:rPr>
          <w:rFonts w:ascii="Adobe Garamond Pro" w:hAnsi="Adobe Garamond Pro"/>
          <w14:ligatures w14:val="standardContextual"/>
        </w:rPr>
        <w:t>Missouri law governs the period of repose.</w:t>
      </w:r>
      <w:bookmarkEnd w:id="53"/>
    </w:p>
    <w:p w14:paraId="7761B91D" w14:textId="4701AB40" w:rsidR="00DF4DD8" w:rsidRPr="00C43543" w:rsidRDefault="00C41AF0" w:rsidP="00DF4DD8">
      <w:pPr>
        <w:pStyle w:val="BodyText"/>
        <w:rPr>
          <w:b/>
          <w:bCs/>
          <w:szCs w:val="28"/>
          <w14:ligatures w14:val="standardContextual"/>
        </w:rPr>
      </w:pPr>
      <w:r w:rsidRPr="00C43543">
        <w:rPr>
          <w:b/>
          <w:bCs/>
          <w:i/>
          <w:iCs/>
          <w:szCs w:val="28"/>
          <w14:ligatures w14:val="standardContextual"/>
        </w:rPr>
        <w:t>1. The “most significant interest” test</w:t>
      </w:r>
      <w:r w:rsidR="00DF4DD8" w:rsidRPr="00C43543">
        <w:rPr>
          <w:b/>
          <w:bCs/>
          <w:i/>
          <w:iCs/>
          <w:szCs w:val="28"/>
          <w14:ligatures w14:val="standardContextual"/>
        </w:rPr>
        <w:t>.</w:t>
      </w:r>
      <w:r w:rsidR="00DF4DD8" w:rsidRPr="00C43543">
        <w:rPr>
          <w:szCs w:val="28"/>
          <w14:ligatures w14:val="standardContextual"/>
        </w:rPr>
        <w:t xml:space="preserve"> There is no dispute here that Washington law creates the cause of action and governs</w:t>
      </w:r>
      <w:r w:rsidR="00240B4D" w:rsidRPr="00C43543">
        <w:rPr>
          <w:szCs w:val="28"/>
          <w14:ligatures w14:val="standardContextual"/>
        </w:rPr>
        <w:t xml:space="preserve"> compensatory </w:t>
      </w:r>
      <w:r w:rsidR="00DF4DD8" w:rsidRPr="00C43543">
        <w:rPr>
          <w:szCs w:val="28"/>
          <w14:ligatures w14:val="standardContextual"/>
        </w:rPr>
        <w:t>damages. Washington “has an obvious</w:t>
      </w:r>
      <w:r w:rsidR="00311D21" w:rsidRPr="00C43543">
        <w:rPr>
          <w:szCs w:val="28"/>
          <w14:ligatures w14:val="standardContextual"/>
        </w:rPr>
        <w:t xml:space="preserve"> </w:t>
      </w:r>
      <w:r w:rsidR="00DF4DD8" w:rsidRPr="00C43543">
        <w:rPr>
          <w:szCs w:val="28"/>
          <w14:ligatures w14:val="standardContextual"/>
        </w:rPr>
        <w:t>interest</w:t>
      </w:r>
      <w:r w:rsidR="00311D21" w:rsidRPr="00C43543">
        <w:rPr>
          <w:szCs w:val="28"/>
          <w14:ligatures w14:val="standardContextual"/>
        </w:rPr>
        <w:t xml:space="preserve"> </w:t>
      </w:r>
      <w:r w:rsidR="00DF4DD8" w:rsidRPr="00C43543">
        <w:rPr>
          <w:szCs w:val="28"/>
          <w14:ligatures w14:val="standardContextual"/>
        </w:rPr>
        <w:t xml:space="preserve">in </w:t>
      </w:r>
      <w:r w:rsidR="00311D21" w:rsidRPr="00C43543">
        <w:rPr>
          <w:szCs w:val="28"/>
          <w14:ligatures w14:val="standardContextual"/>
        </w:rPr>
        <w:br/>
        <w:t xml:space="preserve">. . . providing </w:t>
      </w:r>
      <w:r w:rsidR="00DF4DD8" w:rsidRPr="00C43543">
        <w:rPr>
          <w:szCs w:val="28"/>
          <w14:ligatures w14:val="standardContextual"/>
        </w:rPr>
        <w:t xml:space="preserve">redress for injuries that occurred there.” Restatement (Second) of Conflict of Laws § 145, </w:t>
      </w:r>
      <w:proofErr w:type="spellStart"/>
      <w:r w:rsidR="00DF4DD8" w:rsidRPr="00C43543">
        <w:rPr>
          <w:szCs w:val="28"/>
          <w14:ligatures w14:val="standardContextual"/>
        </w:rPr>
        <w:t>cmt</w:t>
      </w:r>
      <w:proofErr w:type="spellEnd"/>
      <w:r w:rsidR="00DF4DD8" w:rsidRPr="00C43543">
        <w:rPr>
          <w:szCs w:val="28"/>
          <w14:ligatures w14:val="standardContextual"/>
        </w:rPr>
        <w:t xml:space="preserve">. d. Monsanto, however, argues that the trial court also should have applied Washington’s rebuttable twelve-year statute of repose rather than Missouri law, which has no repose period. </w:t>
      </w:r>
      <w:r w:rsidR="00DF4DD8" w:rsidRPr="00C43543">
        <w:rPr>
          <w:i/>
          <w:iCs/>
          <w:szCs w:val="28"/>
          <w14:ligatures w14:val="standardContextual"/>
        </w:rPr>
        <w:t xml:space="preserve">See </w:t>
      </w:r>
      <w:r w:rsidR="00DF4DD8" w:rsidRPr="00C43543">
        <w:rPr>
          <w:szCs w:val="28"/>
          <w14:ligatures w14:val="standardContextual"/>
        </w:rPr>
        <w:t>RCW 7.72.0</w:t>
      </w:r>
      <w:r w:rsidR="00B55344" w:rsidRPr="00C43543">
        <w:rPr>
          <w:szCs w:val="28"/>
          <w14:ligatures w14:val="standardContextual"/>
        </w:rPr>
        <w:t>6</w:t>
      </w:r>
      <w:r w:rsidR="00DF4DD8" w:rsidRPr="00C43543">
        <w:rPr>
          <w:szCs w:val="28"/>
          <w14:ligatures w14:val="standardContextual"/>
        </w:rPr>
        <w:t>0</w:t>
      </w:r>
      <w:r w:rsidR="00F74E86" w:rsidRPr="00C43543">
        <w:rPr>
          <w:szCs w:val="28"/>
          <w14:ligatures w14:val="standardContextual"/>
        </w:rPr>
        <w:fldChar w:fldCharType="begin"/>
      </w:r>
      <w:r w:rsidR="00F74E86" w:rsidRPr="00C43543">
        <w:rPr>
          <w:szCs w:val="28"/>
          <w14:ligatures w14:val="standardContextual"/>
        </w:rPr>
        <w:instrText xml:space="preserve"> TA \l "RCW 7.72.060" \s "RCW 7.72.060" \c 2 </w:instrText>
      </w:r>
      <w:r w:rsidR="00F74E86" w:rsidRPr="00C43543">
        <w:rPr>
          <w:szCs w:val="28"/>
          <w14:ligatures w14:val="standardContextual"/>
        </w:rPr>
        <w:fldChar w:fldCharType="end"/>
      </w:r>
      <w:r w:rsidR="00DF4DD8" w:rsidRPr="00C43543">
        <w:rPr>
          <w:szCs w:val="28"/>
          <w14:ligatures w14:val="standardContextual"/>
        </w:rPr>
        <w:t xml:space="preserve">; </w:t>
      </w:r>
      <w:r w:rsidR="00DF4DD8" w:rsidRPr="00C43543">
        <w:rPr>
          <w:i/>
          <w:iCs/>
          <w:szCs w:val="28"/>
          <w14:ligatures w14:val="standardContextual"/>
        </w:rPr>
        <w:t xml:space="preserve">Lay v. P&amp;G Health </w:t>
      </w:r>
      <w:r w:rsidR="00DF4DD8" w:rsidRPr="00C43543">
        <w:rPr>
          <w:i/>
          <w:iCs/>
          <w:szCs w:val="28"/>
          <w14:ligatures w14:val="standardContextual"/>
        </w:rPr>
        <w:lastRenderedPageBreak/>
        <w:t>Care, Inc.</w:t>
      </w:r>
      <w:r w:rsidR="00DF4DD8" w:rsidRPr="00C43543">
        <w:rPr>
          <w:szCs w:val="28"/>
          <w14:ligatures w14:val="standardContextual"/>
        </w:rPr>
        <w:t>, 37 S.W.3d 310, 321-22 (Mo. Ct. App. 2000)</w:t>
      </w:r>
      <w:r w:rsidR="00F74E86" w:rsidRPr="00C43543">
        <w:rPr>
          <w:szCs w:val="28"/>
          <w14:ligatures w14:val="standardContextual"/>
        </w:rPr>
        <w:fldChar w:fldCharType="begin"/>
      </w:r>
      <w:r w:rsidR="00F74E86" w:rsidRPr="00C43543">
        <w:rPr>
          <w:szCs w:val="28"/>
          <w14:ligatures w14:val="standardContextual"/>
        </w:rPr>
        <w:instrText xml:space="preserve"> TA \l "</w:instrText>
      </w:r>
      <w:r w:rsidR="00F74E86" w:rsidRPr="00C43543">
        <w:rPr>
          <w:i/>
          <w:iCs/>
          <w:szCs w:val="28"/>
          <w14:ligatures w14:val="standardContextual"/>
        </w:rPr>
        <w:instrText>Lay v. P&amp;G Health Care, Inc.</w:instrText>
      </w:r>
      <w:r w:rsidR="00F74E86" w:rsidRPr="00C43543">
        <w:rPr>
          <w:szCs w:val="28"/>
          <w14:ligatures w14:val="standardContextual"/>
        </w:rPr>
        <w:instrText>,</w:instrText>
      </w:r>
      <w:r w:rsidR="00F74E86" w:rsidRPr="00C43543">
        <w:rPr>
          <w:szCs w:val="28"/>
          <w14:ligatures w14:val="standardContextual"/>
        </w:rPr>
        <w:br/>
        <w:instrText xml:space="preserve">37 S.W.3d 310 (Mo. Ct. App. 2000)" \s "Lay v. P&amp;G, 37 S.W.3d 310" \c 1 </w:instrText>
      </w:r>
      <w:r w:rsidR="00F74E86" w:rsidRPr="00C43543">
        <w:rPr>
          <w:szCs w:val="28"/>
          <w14:ligatures w14:val="standardContextual"/>
        </w:rPr>
        <w:fldChar w:fldCharType="end"/>
      </w:r>
      <w:r w:rsidR="00DF4DD8" w:rsidRPr="00C43543">
        <w:rPr>
          <w:szCs w:val="28"/>
          <w14:ligatures w14:val="standardContextual"/>
        </w:rPr>
        <w:t xml:space="preserve">. But this Court in </w:t>
      </w:r>
      <w:r w:rsidR="00DF4DD8" w:rsidRPr="00C43543">
        <w:rPr>
          <w:i/>
          <w:iCs/>
          <w:szCs w:val="28"/>
          <w14:ligatures w14:val="standardContextual"/>
        </w:rPr>
        <w:t>Zenaida-Garcia</w:t>
      </w:r>
      <w:r w:rsidR="00DF4DD8" w:rsidRPr="00C43543">
        <w:rPr>
          <w:szCs w:val="28"/>
          <w14:ligatures w14:val="standardContextual"/>
        </w:rPr>
        <w:t xml:space="preserve">, applying </w:t>
      </w:r>
      <w:r w:rsidR="00DF4DD8" w:rsidRPr="00C43543">
        <w:rPr>
          <w:i/>
          <w:iCs/>
          <w:szCs w:val="28"/>
          <w14:ligatures w14:val="standardContextual"/>
        </w:rPr>
        <w:t>Spider Staging</w:t>
      </w:r>
      <w:r w:rsidR="00DF4DD8" w:rsidRPr="00C43543">
        <w:rPr>
          <w:szCs w:val="28"/>
          <w14:ligatures w14:val="standardContextual"/>
        </w:rPr>
        <w:t xml:space="preserve"> to analogous circumstances, held the opposite. 128 </w:t>
      </w:r>
      <w:proofErr w:type="spellStart"/>
      <w:r w:rsidR="00DF4DD8" w:rsidRPr="00C43543">
        <w:rPr>
          <w:szCs w:val="28"/>
          <w14:ligatures w14:val="standardContextual"/>
        </w:rPr>
        <w:t>Wn</w:t>
      </w:r>
      <w:proofErr w:type="spellEnd"/>
      <w:r w:rsidR="00DF4DD8" w:rsidRPr="00C43543">
        <w:rPr>
          <w:szCs w:val="28"/>
          <w14:ligatures w14:val="standardContextual"/>
        </w:rPr>
        <w:t>. App. at 264</w:t>
      </w:r>
      <w:r w:rsidR="00B55344" w:rsidRPr="00C43543">
        <w:rPr>
          <w:szCs w:val="28"/>
          <w14:ligatures w14:val="standardContextual"/>
        </w:rPr>
        <w:t>-65</w:t>
      </w:r>
      <w:r w:rsidR="00F74E86" w:rsidRPr="00C43543">
        <w:rPr>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szCs w:val="28"/>
          <w14:ligatures w14:val="standardContextual"/>
        </w:rPr>
        <w:fldChar w:fldCharType="end"/>
      </w:r>
      <w:r w:rsidR="00DF4DD8" w:rsidRPr="00C43543">
        <w:rPr>
          <w:szCs w:val="28"/>
          <w14:ligatures w14:val="standardContextual"/>
        </w:rPr>
        <w:t xml:space="preserve">. </w:t>
      </w:r>
    </w:p>
    <w:p w14:paraId="7B0787AA" w14:textId="1B33F1CC" w:rsidR="00DF4DD8" w:rsidRPr="00C43543" w:rsidRDefault="00DF4DD8" w:rsidP="00DF4DD8">
      <w:pPr>
        <w:pStyle w:val="BodyText"/>
        <w:rPr>
          <w:i/>
          <w:iCs/>
          <w:szCs w:val="28"/>
          <w14:ligatures w14:val="standardContextual"/>
        </w:rPr>
      </w:pPr>
      <w:r w:rsidRPr="00C43543">
        <w:rPr>
          <w:szCs w:val="28"/>
          <w14:ligatures w14:val="standardContextual"/>
        </w:rPr>
        <w:t xml:space="preserve">The question in </w:t>
      </w:r>
      <w:r w:rsidRPr="00C43543">
        <w:rPr>
          <w:i/>
          <w:iCs/>
          <w:szCs w:val="28"/>
          <w14:ligatures w14:val="standardContextual"/>
        </w:rPr>
        <w:t>Zenaida-Garcia</w:t>
      </w:r>
      <w:r w:rsidRPr="00C43543">
        <w:rPr>
          <w:szCs w:val="28"/>
          <w14:ligatures w14:val="standardContextual"/>
        </w:rPr>
        <w:t xml:space="preserve"> was which statute of repose applied to the WPLA claim of an Oregon resident injured by farm equipment defectively designed in Washington. </w:t>
      </w:r>
      <w:r w:rsidRPr="00C43543">
        <w:rPr>
          <w:i/>
          <w:iCs/>
          <w:szCs w:val="28"/>
          <w14:ligatures w14:val="standardContextual"/>
        </w:rPr>
        <w:t>Id.</w:t>
      </w:r>
      <w:r w:rsidRPr="00C43543">
        <w:rPr>
          <w:szCs w:val="28"/>
          <w14:ligatures w14:val="standardContextual"/>
        </w:rPr>
        <w:t xml:space="preserve"> at 258-59</w:t>
      </w:r>
      <w:r w:rsidR="00F74E86" w:rsidRPr="00C43543">
        <w:rPr>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szCs w:val="28"/>
          <w14:ligatures w14:val="standardContextual"/>
        </w:rPr>
        <w:fldChar w:fldCharType="end"/>
      </w:r>
      <w:r w:rsidRPr="00C43543">
        <w:rPr>
          <w:szCs w:val="28"/>
          <w14:ligatures w14:val="standardContextual"/>
        </w:rPr>
        <w:t xml:space="preserve">. As in </w:t>
      </w:r>
      <w:r w:rsidRPr="00C43543">
        <w:rPr>
          <w:i/>
          <w:iCs/>
          <w:szCs w:val="28"/>
          <w14:ligatures w14:val="standardContextual"/>
        </w:rPr>
        <w:t>Spider Staging</w:t>
      </w:r>
      <w:r w:rsidRPr="00C43543">
        <w:rPr>
          <w:szCs w:val="28"/>
          <w14:ligatures w14:val="standardContextual"/>
        </w:rPr>
        <w:t xml:space="preserve">, the Court held that the state contacts in these circumstances were “evenly balanced” and that Washington—the state where the tortious activity occurred—had the “weightier policy interests.” </w:t>
      </w:r>
      <w:r w:rsidRPr="00C43543">
        <w:rPr>
          <w:i/>
          <w:iCs/>
          <w:szCs w:val="28"/>
          <w14:ligatures w14:val="standardContextual"/>
        </w:rPr>
        <w:t>Id.</w:t>
      </w:r>
      <w:r w:rsidRPr="00C43543">
        <w:rPr>
          <w:szCs w:val="28"/>
          <w14:ligatures w14:val="standardContextual"/>
        </w:rPr>
        <w:t xml:space="preserve"> at 263, 266</w:t>
      </w:r>
      <w:r w:rsidR="00F74E86" w:rsidRPr="00C43543">
        <w:rPr>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szCs w:val="28"/>
          <w14:ligatures w14:val="standardContextual"/>
        </w:rPr>
        <w:fldChar w:fldCharType="end"/>
      </w:r>
      <w:r w:rsidRPr="00C43543">
        <w:rPr>
          <w:szCs w:val="28"/>
          <w14:ligatures w14:val="standardContextual"/>
        </w:rPr>
        <w:t xml:space="preserve">. Washington, the Court explained, had “strong policy interests in deterring the design, manufacture and sale of unsafe products within its borders.” </w:t>
      </w:r>
      <w:r w:rsidRPr="00C43543">
        <w:rPr>
          <w:i/>
          <w:iCs/>
          <w:szCs w:val="28"/>
          <w14:ligatures w14:val="standardContextual"/>
        </w:rPr>
        <w:t>Id.</w:t>
      </w:r>
      <w:r w:rsidRPr="00C43543">
        <w:rPr>
          <w:szCs w:val="28"/>
          <w14:ligatures w14:val="standardContextual"/>
        </w:rPr>
        <w:t xml:space="preserve"> at 266</w:t>
      </w:r>
      <w:r w:rsidR="00F74E86" w:rsidRPr="00C43543">
        <w:rPr>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szCs w:val="28"/>
          <w14:ligatures w14:val="standardContextual"/>
        </w:rPr>
        <w:fldChar w:fldCharType="end"/>
      </w:r>
      <w:r w:rsidRPr="00C43543">
        <w:rPr>
          <w:szCs w:val="28"/>
          <w14:ligatures w14:val="standardContextual"/>
        </w:rPr>
        <w:t xml:space="preserve">. In contrast, Oregon had “no strong interest in application of its statute of repose to protect a Washington corporation.” </w:t>
      </w:r>
      <w:r w:rsidRPr="00C43543">
        <w:rPr>
          <w:i/>
          <w:iCs/>
          <w:szCs w:val="28"/>
          <w14:ligatures w14:val="standardContextual"/>
        </w:rPr>
        <w:t>Id.</w:t>
      </w:r>
      <w:r w:rsidR="00F74E86" w:rsidRPr="00C43543">
        <w:rPr>
          <w:i/>
          <w:iCs/>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i/>
          <w:iCs/>
          <w:szCs w:val="28"/>
          <w14:ligatures w14:val="standardContextual"/>
        </w:rPr>
        <w:fldChar w:fldCharType="end"/>
      </w:r>
      <w:r w:rsidRPr="00C43543">
        <w:rPr>
          <w:szCs w:val="28"/>
          <w14:ligatures w14:val="standardContextual"/>
        </w:rPr>
        <w:t xml:space="preserve"> Applying Oregon’s statute “would not protect Oregon </w:t>
      </w:r>
      <w:proofErr w:type="gramStart"/>
      <w:r w:rsidRPr="00C43543">
        <w:rPr>
          <w:szCs w:val="28"/>
          <w14:ligatures w14:val="standardContextual"/>
        </w:rPr>
        <w:t>residents, but</w:t>
      </w:r>
      <w:proofErr w:type="gramEnd"/>
      <w:r w:rsidRPr="00C43543">
        <w:rPr>
          <w:szCs w:val="28"/>
          <w14:ligatures w14:val="standardContextual"/>
        </w:rPr>
        <w:t xml:space="preserve"> would merely limit their ability to recover damages.” </w:t>
      </w:r>
      <w:r w:rsidRPr="00C43543">
        <w:rPr>
          <w:i/>
          <w:iCs/>
          <w:szCs w:val="28"/>
          <w14:ligatures w14:val="standardContextual"/>
        </w:rPr>
        <w:t>Id.</w:t>
      </w:r>
      <w:r w:rsidR="00F74E86" w:rsidRPr="00C43543">
        <w:rPr>
          <w:i/>
          <w:iCs/>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i/>
          <w:iCs/>
          <w:szCs w:val="28"/>
          <w14:ligatures w14:val="standardContextual"/>
        </w:rPr>
        <w:fldChar w:fldCharType="end"/>
      </w:r>
      <w:r w:rsidRPr="00C43543">
        <w:rPr>
          <w:szCs w:val="28"/>
          <w14:ligatures w14:val="standardContextual"/>
        </w:rPr>
        <w:t xml:space="preserve"> Washington’s longer statute of repose thus applied. </w:t>
      </w:r>
    </w:p>
    <w:p w14:paraId="6AEC87F4" w14:textId="2613921D" w:rsidR="00DF4DD8" w:rsidRPr="00C43543" w:rsidRDefault="00DF4DD8" w:rsidP="00DF4DD8">
      <w:pPr>
        <w:pStyle w:val="BodyText"/>
        <w:rPr>
          <w:szCs w:val="28"/>
          <w14:ligatures w14:val="standardContextual"/>
        </w:rPr>
      </w:pPr>
      <w:r w:rsidRPr="00C43543">
        <w:rPr>
          <w:szCs w:val="28"/>
          <w14:ligatures w14:val="standardContextual"/>
        </w:rPr>
        <w:t xml:space="preserve">This case is the inverse of </w:t>
      </w:r>
      <w:r w:rsidRPr="00C43543">
        <w:rPr>
          <w:i/>
          <w:iCs/>
          <w:szCs w:val="28"/>
          <w14:ligatures w14:val="standardContextual"/>
        </w:rPr>
        <w:t>Zenaida-Garcia</w:t>
      </w:r>
      <w:r w:rsidRPr="00C43543">
        <w:rPr>
          <w:szCs w:val="28"/>
          <w14:ligatures w14:val="standardContextual"/>
        </w:rPr>
        <w:t xml:space="preserve">: The plaintiffs were domiciled and suffered injury in Washington, while the defendants were domiciled and made their tortious design and warning </w:t>
      </w:r>
      <w:r w:rsidRPr="00C43543">
        <w:rPr>
          <w:szCs w:val="28"/>
          <w14:ligatures w14:val="standardContextual"/>
        </w:rPr>
        <w:lastRenderedPageBreak/>
        <w:t xml:space="preserve">decisions in the foreign state (Missouri). As in </w:t>
      </w:r>
      <w:r w:rsidRPr="00C43543">
        <w:rPr>
          <w:i/>
          <w:iCs/>
          <w:szCs w:val="28"/>
          <w14:ligatures w14:val="standardContextual"/>
        </w:rPr>
        <w:t>Zenaida-Garcia</w:t>
      </w:r>
      <w:r w:rsidRPr="00C43543">
        <w:rPr>
          <w:szCs w:val="28"/>
          <w14:ligatures w14:val="standardContextual"/>
        </w:rPr>
        <w:t xml:space="preserve">, the state contacts are “evenly balanced”: The plaintiffs’ domicile and the place of injury favor one state, while the defendants’ domicile and the place of tortious conduct favor another. </w:t>
      </w:r>
      <w:r w:rsidRPr="00C43543">
        <w:rPr>
          <w:i/>
          <w:iCs/>
          <w:szCs w:val="28"/>
          <w14:ligatures w14:val="standardContextual"/>
        </w:rPr>
        <w:t>See id.</w:t>
      </w:r>
      <w:r w:rsidR="00F74E86" w:rsidRPr="00C43543">
        <w:rPr>
          <w:i/>
          <w:iCs/>
          <w:szCs w:val="28"/>
          <w14:ligatures w14:val="standardContextual"/>
        </w:rPr>
        <w:fldChar w:fldCharType="begin"/>
      </w:r>
      <w:r w:rsidR="00F74E86" w:rsidRPr="00C43543">
        <w:rPr>
          <w:szCs w:val="28"/>
          <w14:ligatures w14:val="standardContextual"/>
        </w:rPr>
        <w:instrText xml:space="preserve"> TA \s "Zenaida-Garcia, 128 Wn. App. 256" </w:instrText>
      </w:r>
      <w:r w:rsidR="00F74E86" w:rsidRPr="00C43543">
        <w:rPr>
          <w:i/>
          <w:iCs/>
          <w:szCs w:val="28"/>
          <w14:ligatures w14:val="standardContextual"/>
        </w:rPr>
        <w:fldChar w:fldCharType="end"/>
      </w:r>
      <w:r w:rsidRPr="00C43543">
        <w:rPr>
          <w:szCs w:val="28"/>
          <w14:ligatures w14:val="standardContextual"/>
        </w:rPr>
        <w:t xml:space="preserve"> </w:t>
      </w:r>
    </w:p>
    <w:p w14:paraId="0F289DF2" w14:textId="2C847B23" w:rsidR="00DF4DD8" w:rsidRPr="00C43543" w:rsidRDefault="00DF4DD8" w:rsidP="00DF4DD8">
      <w:pPr>
        <w:pStyle w:val="BodyText"/>
        <w:rPr>
          <w:szCs w:val="28"/>
          <w14:ligatures w14:val="standardContextual"/>
        </w:rPr>
      </w:pPr>
      <w:r w:rsidRPr="00C43543">
        <w:rPr>
          <w:szCs w:val="28"/>
          <w14:ligatures w14:val="standardContextual"/>
        </w:rPr>
        <w:t>But here it is Missouri, rather than Washington, that “has strong policy interests in deterring the design, manufacture and sale of unsafe products within its borders.”</w:t>
      </w:r>
      <w:r w:rsidRPr="00C43543">
        <w:rPr>
          <w:i/>
          <w:iCs/>
          <w:szCs w:val="28"/>
          <w14:ligatures w14:val="standardContextual"/>
        </w:rPr>
        <w:t xml:space="preserve"> Id.</w:t>
      </w:r>
      <w:r w:rsidR="00DF2665" w:rsidRPr="00C43543">
        <w:rPr>
          <w:i/>
          <w:iCs/>
          <w:szCs w:val="28"/>
          <w14:ligatures w14:val="standardContextual"/>
        </w:rPr>
        <w:fldChar w:fldCharType="begin"/>
      </w:r>
      <w:r w:rsidR="00DF2665" w:rsidRPr="00C43543">
        <w:rPr>
          <w:szCs w:val="28"/>
          <w14:ligatures w14:val="standardContextual"/>
        </w:rPr>
        <w:instrText xml:space="preserve"> TA \s "Zenaida-Garcia, 128 Wn. App. 256" </w:instrText>
      </w:r>
      <w:r w:rsidR="00DF2665" w:rsidRPr="00C43543">
        <w:rPr>
          <w:i/>
          <w:iCs/>
          <w:szCs w:val="28"/>
          <w14:ligatures w14:val="standardContextual"/>
        </w:rPr>
        <w:fldChar w:fldCharType="end"/>
      </w:r>
      <w:r w:rsidRPr="00C43543">
        <w:rPr>
          <w:szCs w:val="28"/>
          <w14:ligatures w14:val="standardContextual"/>
        </w:rPr>
        <w:t xml:space="preserve"> “[B]y not enacting a statute of repose, Missouri has expressed a policy in favor of fully compensating injured victims and a policy against providing asylum to manufacturers of defective products.” </w:t>
      </w:r>
      <w:proofErr w:type="spellStart"/>
      <w:r w:rsidRPr="00C43543">
        <w:rPr>
          <w:i/>
          <w:iCs/>
          <w:szCs w:val="28"/>
          <w14:ligatures w14:val="standardContextual"/>
        </w:rPr>
        <w:t>Jaurequi</w:t>
      </w:r>
      <w:proofErr w:type="spellEnd"/>
      <w:r w:rsidRPr="00C43543">
        <w:rPr>
          <w:i/>
          <w:iCs/>
          <w:szCs w:val="28"/>
          <w14:ligatures w14:val="standardContextual"/>
        </w:rPr>
        <w:t xml:space="preserve"> v. John Deere Co.</w:t>
      </w:r>
      <w:r w:rsidRPr="00C43543">
        <w:rPr>
          <w:szCs w:val="28"/>
          <w14:ligatures w14:val="standardContextual"/>
        </w:rPr>
        <w:t>, 986 F.2d 170, 175 (7th Cir. 1993)</w:t>
      </w:r>
      <w:r w:rsidR="00DF2665" w:rsidRPr="00C43543">
        <w:rPr>
          <w:szCs w:val="28"/>
          <w14:ligatures w14:val="standardContextual"/>
        </w:rPr>
        <w:fldChar w:fldCharType="begin"/>
      </w:r>
      <w:r w:rsidR="00DF2665" w:rsidRPr="00C43543">
        <w:rPr>
          <w:szCs w:val="28"/>
          <w14:ligatures w14:val="standardContextual"/>
        </w:rPr>
        <w:instrText xml:space="preserve"> TA \l "</w:instrText>
      </w:r>
      <w:r w:rsidR="00DF2665" w:rsidRPr="00C43543">
        <w:rPr>
          <w:i/>
          <w:iCs/>
          <w:szCs w:val="28"/>
          <w14:ligatures w14:val="standardContextual"/>
        </w:rPr>
        <w:instrText>Jaurequi v. John Deere Co.</w:instrText>
      </w:r>
      <w:r w:rsidR="00DF2665" w:rsidRPr="00C43543">
        <w:rPr>
          <w:szCs w:val="28"/>
          <w14:ligatures w14:val="standardContextual"/>
        </w:rPr>
        <w:instrText>,</w:instrText>
      </w:r>
      <w:r w:rsidR="00DF2665" w:rsidRPr="00C43543">
        <w:rPr>
          <w:szCs w:val="28"/>
          <w14:ligatures w14:val="standardContextual"/>
        </w:rPr>
        <w:br/>
        <w:instrText xml:space="preserve">986 F.2d 170 (7th Cir. 1993)" \s "Jaurequi v. John Deere, 986 F.2d 170" \c 1 </w:instrText>
      </w:r>
      <w:r w:rsidR="00DF2665" w:rsidRPr="00C43543">
        <w:rPr>
          <w:szCs w:val="28"/>
          <w14:ligatures w14:val="standardContextual"/>
        </w:rPr>
        <w:fldChar w:fldCharType="end"/>
      </w:r>
      <w:r w:rsidRPr="00C43543">
        <w:rPr>
          <w:szCs w:val="28"/>
          <w14:ligatures w14:val="standardContextual"/>
        </w:rPr>
        <w:t>. The state “has a legitimate interest in the application of its law” to further those policies.</w:t>
      </w:r>
      <w:r w:rsidRPr="00C43543">
        <w:rPr>
          <w:i/>
          <w:iCs/>
          <w:szCs w:val="28"/>
          <w14:ligatures w14:val="standardContextual"/>
        </w:rPr>
        <w:t xml:space="preserve"> Spider Staging</w:t>
      </w:r>
      <w:r w:rsidRPr="00C43543">
        <w:rPr>
          <w:szCs w:val="28"/>
          <w14:ligatures w14:val="standardContextual"/>
        </w:rPr>
        <w:t>, 87 Wn.2d at 58</w:t>
      </w:r>
      <w:r w:rsidR="00B55344" w:rsidRPr="00C43543">
        <w:rPr>
          <w:szCs w:val="28"/>
          <w14:ligatures w14:val="standardContextual"/>
        </w:rPr>
        <w:t>3-8</w:t>
      </w:r>
      <w:r w:rsidRPr="00C43543">
        <w:rPr>
          <w:szCs w:val="28"/>
          <w14:ligatures w14:val="standardContextual"/>
        </w:rPr>
        <w:t>4</w:t>
      </w:r>
      <w:r w:rsidR="00DF2665" w:rsidRPr="00C43543">
        <w:rPr>
          <w:szCs w:val="28"/>
          <w14:ligatures w14:val="standardContextual"/>
        </w:rPr>
        <w:fldChar w:fldCharType="begin"/>
      </w:r>
      <w:r w:rsidR="00DF2665" w:rsidRPr="00C43543">
        <w:rPr>
          <w:szCs w:val="28"/>
          <w14:ligatures w14:val="standardContextual"/>
        </w:rPr>
        <w:instrText xml:space="preserve"> TA \s "Spider Staging Co., 87 Wn.2d 577" </w:instrText>
      </w:r>
      <w:r w:rsidR="00DF2665" w:rsidRPr="00C43543">
        <w:rPr>
          <w:szCs w:val="28"/>
          <w14:ligatures w14:val="standardContextual"/>
        </w:rPr>
        <w:fldChar w:fldCharType="end"/>
      </w:r>
      <w:r w:rsidRPr="00C43543">
        <w:rPr>
          <w:szCs w:val="28"/>
          <w14:ligatures w14:val="standardContextual"/>
        </w:rPr>
        <w:t>.</w:t>
      </w:r>
    </w:p>
    <w:p w14:paraId="243FFB99" w14:textId="22392B97" w:rsidR="00DF4DD8" w:rsidRPr="00C43543" w:rsidRDefault="00DF4DD8" w:rsidP="00DF4DD8">
      <w:pPr>
        <w:pStyle w:val="BodyText"/>
        <w:rPr>
          <w:szCs w:val="28"/>
          <w14:ligatures w14:val="standardContextual"/>
        </w:rPr>
      </w:pPr>
      <w:r w:rsidRPr="00C43543">
        <w:rPr>
          <w:szCs w:val="28"/>
          <w14:ligatures w14:val="standardContextual"/>
        </w:rPr>
        <w:t>Monsanto nevertheless claims (at 43) that “Missouri has no interest in having its resident businesses deprived of repose protections available to Washington businesses.” But a state “has an obvious interest in regulating the conduct of persons within its territory.” Restatement (Second) of Conflict of Laws § 145</w:t>
      </w:r>
      <w:r w:rsidR="00DF2665" w:rsidRPr="00C43543">
        <w:rPr>
          <w:szCs w:val="28"/>
          <w14:ligatures w14:val="standardContextual"/>
        </w:rPr>
        <w:fldChar w:fldCharType="begin"/>
      </w:r>
      <w:r w:rsidR="00DF2665" w:rsidRPr="00C43543">
        <w:rPr>
          <w:szCs w:val="28"/>
          <w14:ligatures w14:val="standardContextual"/>
        </w:rPr>
        <w:instrText xml:space="preserve"> TA \s "Restatement (Second) of Conflict of Laws § 145" </w:instrText>
      </w:r>
      <w:r w:rsidR="00DF2665" w:rsidRPr="00C43543">
        <w:rPr>
          <w:szCs w:val="28"/>
          <w14:ligatures w14:val="standardContextual"/>
        </w:rPr>
        <w:fldChar w:fldCharType="end"/>
      </w:r>
      <w:r w:rsidRPr="00C43543">
        <w:rPr>
          <w:szCs w:val="28"/>
          <w14:ligatures w14:val="standardContextual"/>
        </w:rPr>
        <w:t xml:space="preserve">, </w:t>
      </w:r>
      <w:proofErr w:type="spellStart"/>
      <w:r w:rsidRPr="00C43543">
        <w:rPr>
          <w:szCs w:val="28"/>
          <w14:ligatures w14:val="standardContextual"/>
        </w:rPr>
        <w:t>cmt</w:t>
      </w:r>
      <w:proofErr w:type="spellEnd"/>
      <w:r w:rsidRPr="00C43543">
        <w:rPr>
          <w:szCs w:val="28"/>
          <w14:ligatures w14:val="standardContextual"/>
        </w:rPr>
        <w:t xml:space="preserve">. d. Where the purpose of a rule is to “punish the tortfeasor and thus to deter others,” the “state where the conduct occurred is the state of </w:t>
      </w:r>
      <w:r w:rsidRPr="00C43543">
        <w:rPr>
          <w:szCs w:val="28"/>
          <w14:ligatures w14:val="standardContextual"/>
        </w:rPr>
        <w:lastRenderedPageBreak/>
        <w:t xml:space="preserve">dominant interest.” </w:t>
      </w:r>
      <w:r w:rsidR="00DF2665" w:rsidRPr="00C43543">
        <w:rPr>
          <w:i/>
          <w:iCs/>
          <w:szCs w:val="28"/>
          <w14:ligatures w14:val="standardContextual"/>
        </w:rPr>
        <w:t xml:space="preserve">Id. </w:t>
      </w:r>
      <w:r w:rsidR="00DF2665" w:rsidRPr="00C43543">
        <w:rPr>
          <w:szCs w:val="28"/>
          <w14:ligatures w14:val="standardContextual"/>
        </w:rPr>
        <w:t xml:space="preserve">at </w:t>
      </w:r>
      <w:proofErr w:type="spellStart"/>
      <w:r w:rsidRPr="00C43543">
        <w:rPr>
          <w:szCs w:val="28"/>
          <w14:ligatures w14:val="standardContextual"/>
        </w:rPr>
        <w:t>cmt</w:t>
      </w:r>
      <w:proofErr w:type="spellEnd"/>
      <w:r w:rsidRPr="00C43543">
        <w:rPr>
          <w:szCs w:val="28"/>
          <w14:ligatures w14:val="standardContextual"/>
        </w:rPr>
        <w:t>. e</w:t>
      </w:r>
      <w:r w:rsidR="00DF2665" w:rsidRPr="00C43543">
        <w:rPr>
          <w:szCs w:val="28"/>
          <w14:ligatures w14:val="standardContextual"/>
        </w:rPr>
        <w:fldChar w:fldCharType="begin"/>
      </w:r>
      <w:r w:rsidR="00DF2665" w:rsidRPr="00C43543">
        <w:rPr>
          <w:szCs w:val="28"/>
          <w14:ligatures w14:val="standardContextual"/>
        </w:rPr>
        <w:instrText xml:space="preserve"> TA \s "Restatement (Second) of Conflict of Laws § 145" </w:instrText>
      </w:r>
      <w:r w:rsidR="00DF2665" w:rsidRPr="00C43543">
        <w:rPr>
          <w:szCs w:val="28"/>
          <w14:ligatures w14:val="standardContextual"/>
        </w:rPr>
        <w:fldChar w:fldCharType="end"/>
      </w:r>
      <w:r w:rsidRPr="00C43543">
        <w:rPr>
          <w:szCs w:val="28"/>
          <w14:ligatures w14:val="standardContextual"/>
        </w:rPr>
        <w:t xml:space="preserve">. And where the issue is the state’s policy on “immunity, the interest of this state in having its rule applied [is] clear.” </w:t>
      </w:r>
      <w:r w:rsidRPr="00C43543">
        <w:rPr>
          <w:i/>
          <w:iCs/>
          <w:szCs w:val="28"/>
          <w14:ligatures w14:val="standardContextual"/>
        </w:rPr>
        <w:t>Id.</w:t>
      </w:r>
      <w:r w:rsidR="00DF2665" w:rsidRPr="00C43543">
        <w:rPr>
          <w:i/>
          <w:iCs/>
          <w:szCs w:val="28"/>
          <w14:ligatures w14:val="standardContextual"/>
        </w:rPr>
        <w:fldChar w:fldCharType="begin"/>
      </w:r>
      <w:r w:rsidR="00DF2665" w:rsidRPr="00C43543">
        <w:rPr>
          <w:szCs w:val="28"/>
          <w14:ligatures w14:val="standardContextual"/>
        </w:rPr>
        <w:instrText xml:space="preserve"> TA \s "Restatement (Second) of Conflict of Laws § 145" </w:instrText>
      </w:r>
      <w:r w:rsidR="00DF2665" w:rsidRPr="00C43543">
        <w:rPr>
          <w:i/>
          <w:iCs/>
          <w:szCs w:val="28"/>
          <w14:ligatures w14:val="standardContextual"/>
        </w:rPr>
        <w:fldChar w:fldCharType="end"/>
      </w:r>
      <w:r w:rsidRPr="00C43543">
        <w:rPr>
          <w:szCs w:val="28"/>
          <w14:ligatures w14:val="standardContextual"/>
        </w:rPr>
        <w:t xml:space="preserve"> Because “an entity headquartered in [Missouri] committed the conduct in [Missouri] that resulted in the plaintiff’s damages,” Missouri has “the greater interest.” </w:t>
      </w:r>
      <w:r w:rsidRPr="00C43543">
        <w:rPr>
          <w:i/>
          <w:szCs w:val="28"/>
          <w14:ligatures w14:val="standardContextual"/>
        </w:rPr>
        <w:t>Singh</w:t>
      </w:r>
      <w:r w:rsidRPr="00C43543">
        <w:rPr>
          <w:szCs w:val="28"/>
          <w14:ligatures w14:val="standardContextual"/>
        </w:rPr>
        <w:t xml:space="preserve">, 151 </w:t>
      </w:r>
      <w:proofErr w:type="spellStart"/>
      <w:r w:rsidRPr="00C43543">
        <w:rPr>
          <w:szCs w:val="28"/>
          <w14:ligatures w14:val="standardContextual"/>
        </w:rPr>
        <w:t>Wn</w:t>
      </w:r>
      <w:proofErr w:type="spellEnd"/>
      <w:r w:rsidRPr="00C43543">
        <w:rPr>
          <w:szCs w:val="28"/>
          <w14:ligatures w14:val="standardContextual"/>
        </w:rPr>
        <w:t>. App. at 140.</w:t>
      </w:r>
      <w:r w:rsidR="00DF2665" w:rsidRPr="00C43543">
        <w:rPr>
          <w:szCs w:val="28"/>
          <w14:ligatures w14:val="standardContextual"/>
        </w:rPr>
        <w:fldChar w:fldCharType="begin"/>
      </w:r>
      <w:r w:rsidR="00DF2665" w:rsidRPr="00C43543">
        <w:rPr>
          <w:szCs w:val="28"/>
          <w14:ligatures w14:val="standardContextual"/>
        </w:rPr>
        <w:instrText xml:space="preserve"> TA \s "Singh, 151 Wn. App. 137" </w:instrText>
      </w:r>
      <w:r w:rsidR="00DF2665" w:rsidRPr="00C43543">
        <w:rPr>
          <w:szCs w:val="28"/>
          <w14:ligatures w14:val="standardContextual"/>
        </w:rPr>
        <w:fldChar w:fldCharType="end"/>
      </w:r>
    </w:p>
    <w:p w14:paraId="45A3D647" w14:textId="60CE451D" w:rsidR="00DF4DD8" w:rsidRPr="00C43543" w:rsidRDefault="00DF4DD8" w:rsidP="00DF4DD8">
      <w:pPr>
        <w:pStyle w:val="BodyText"/>
        <w:rPr>
          <w:szCs w:val="28"/>
          <w14:ligatures w14:val="standardContextual"/>
        </w:rPr>
      </w:pPr>
      <w:r w:rsidRPr="00C43543">
        <w:rPr>
          <w:szCs w:val="28"/>
          <w14:ligatures w14:val="standardContextual"/>
        </w:rPr>
        <w:t xml:space="preserve">Conversely, Washington has “no interest” in applying its statute of repose in this case. </w:t>
      </w:r>
      <w:r w:rsidRPr="00C43543">
        <w:rPr>
          <w:i/>
          <w:iCs/>
          <w:szCs w:val="28"/>
          <w14:ligatures w14:val="standardContextual"/>
        </w:rPr>
        <w:t>Zenaida-Garcia</w:t>
      </w:r>
      <w:r w:rsidRPr="00C43543">
        <w:rPr>
          <w:szCs w:val="28"/>
          <w14:ligatures w14:val="standardContextual"/>
        </w:rPr>
        <w:t xml:space="preserve">, 128 </w:t>
      </w:r>
      <w:proofErr w:type="spellStart"/>
      <w:r w:rsidRPr="00C43543">
        <w:rPr>
          <w:szCs w:val="28"/>
          <w14:ligatures w14:val="standardContextual"/>
        </w:rPr>
        <w:t>Wn</w:t>
      </w:r>
      <w:proofErr w:type="spellEnd"/>
      <w:r w:rsidRPr="00C43543">
        <w:rPr>
          <w:szCs w:val="28"/>
          <w14:ligatures w14:val="standardContextual"/>
        </w:rPr>
        <w:t xml:space="preserve">. App. </w:t>
      </w:r>
      <w:r w:rsidR="00B55344" w:rsidRPr="00C43543">
        <w:rPr>
          <w:szCs w:val="28"/>
          <w14:ligatures w14:val="standardContextual"/>
        </w:rPr>
        <w:t>a</w:t>
      </w:r>
      <w:r w:rsidRPr="00C43543">
        <w:rPr>
          <w:szCs w:val="28"/>
          <w14:ligatures w14:val="standardContextual"/>
        </w:rPr>
        <w:t>t 265.</w:t>
      </w:r>
      <w:r w:rsidR="00DF2665" w:rsidRPr="00C43543">
        <w:rPr>
          <w:szCs w:val="28"/>
          <w14:ligatures w14:val="standardContextual"/>
        </w:rPr>
        <w:fldChar w:fldCharType="begin"/>
      </w:r>
      <w:r w:rsidR="00DF2665" w:rsidRPr="00C43543">
        <w:rPr>
          <w:szCs w:val="28"/>
          <w14:ligatures w14:val="standardContextual"/>
        </w:rPr>
        <w:instrText xml:space="preserve"> TA \s "Zenaida-Garcia, 128 Wn. App. 256" </w:instrText>
      </w:r>
      <w:r w:rsidR="00DF2665" w:rsidRPr="00C43543">
        <w:rPr>
          <w:szCs w:val="28"/>
          <w14:ligatures w14:val="standardContextual"/>
        </w:rPr>
        <w:fldChar w:fldCharType="end"/>
      </w:r>
      <w:r w:rsidRPr="00C43543">
        <w:rPr>
          <w:szCs w:val="28"/>
          <w14:ligatures w14:val="standardContextual"/>
        </w:rPr>
        <w:t xml:space="preserve"> “When Washington’s tort reform act” created the state’s statute of repose in 1981, “the legislature announced its desire to balance two interests: protecting Washington industries from excessive litigation, and preserving the right of consumers to seek redress for injuries caused by unsafe products.” </w:t>
      </w:r>
      <w:r w:rsidRPr="00C43543">
        <w:rPr>
          <w:i/>
          <w:iCs/>
          <w:szCs w:val="28"/>
          <w14:ligatures w14:val="standardContextual"/>
        </w:rPr>
        <w:t>Id.</w:t>
      </w:r>
      <w:r w:rsidRPr="00C43543">
        <w:rPr>
          <w:szCs w:val="28"/>
          <w14:ligatures w14:val="standardContextual"/>
        </w:rPr>
        <w:t xml:space="preserve"> at 264</w:t>
      </w:r>
      <w:r w:rsidR="00DF2665" w:rsidRPr="00C43543">
        <w:rPr>
          <w:szCs w:val="28"/>
          <w14:ligatures w14:val="standardContextual"/>
        </w:rPr>
        <w:fldChar w:fldCharType="begin"/>
      </w:r>
      <w:r w:rsidR="00DF2665" w:rsidRPr="00C43543">
        <w:rPr>
          <w:szCs w:val="28"/>
          <w14:ligatures w14:val="standardContextual"/>
        </w:rPr>
        <w:instrText xml:space="preserve"> TA \s "Zenaida-Garcia, 128 Wn. App. 256" </w:instrText>
      </w:r>
      <w:r w:rsidR="00DF2665" w:rsidRPr="00C43543">
        <w:rPr>
          <w:szCs w:val="28"/>
          <w14:ligatures w14:val="standardContextual"/>
        </w:rPr>
        <w:fldChar w:fldCharType="end"/>
      </w:r>
      <w:r w:rsidRPr="00C43543">
        <w:rPr>
          <w:szCs w:val="28"/>
          <w14:ligatures w14:val="standardContextual"/>
        </w:rPr>
        <w:t xml:space="preserve">. Neither interest is served by applying Washington’s statute of repose here. </w:t>
      </w:r>
    </w:p>
    <w:p w14:paraId="39603663" w14:textId="5A8F5894" w:rsidR="00DF4DD8" w:rsidRPr="00C43543" w:rsidRDefault="00DF4DD8" w:rsidP="00DF4DD8">
      <w:pPr>
        <w:pStyle w:val="BodyText"/>
        <w:rPr>
          <w:szCs w:val="28"/>
          <w14:ligatures w14:val="standardContextual"/>
        </w:rPr>
      </w:pPr>
      <w:r w:rsidRPr="00C43543">
        <w:rPr>
          <w:i/>
          <w:iCs/>
          <w:szCs w:val="28"/>
          <w14:ligatures w14:val="standardContextual"/>
        </w:rPr>
        <w:t>First</w:t>
      </w:r>
      <w:r w:rsidRPr="00C43543">
        <w:rPr>
          <w:szCs w:val="28"/>
          <w14:ligatures w14:val="standardContextual"/>
        </w:rPr>
        <w:t xml:space="preserve">, Washington “has no strong interest in application of its statute of repose to protect a [Missouri] corporation.” </w:t>
      </w:r>
      <w:r w:rsidRPr="00C43543">
        <w:rPr>
          <w:i/>
          <w:iCs/>
          <w:szCs w:val="28"/>
          <w14:ligatures w14:val="standardContextual"/>
        </w:rPr>
        <w:t>Id.</w:t>
      </w:r>
      <w:r w:rsidRPr="00C43543">
        <w:rPr>
          <w:szCs w:val="28"/>
          <w14:ligatures w14:val="standardContextual"/>
        </w:rPr>
        <w:t xml:space="preserve"> at 266.</w:t>
      </w:r>
      <w:r w:rsidR="00DF2665" w:rsidRPr="00C43543">
        <w:rPr>
          <w:szCs w:val="28"/>
          <w14:ligatures w14:val="standardContextual"/>
        </w:rPr>
        <w:fldChar w:fldCharType="begin"/>
      </w:r>
      <w:r w:rsidR="00DF2665" w:rsidRPr="00C43543">
        <w:rPr>
          <w:szCs w:val="28"/>
          <w14:ligatures w14:val="standardContextual"/>
        </w:rPr>
        <w:instrText xml:space="preserve"> TA \s "Zenaida-Garcia, 128 Wn. App. 256" </w:instrText>
      </w:r>
      <w:r w:rsidR="00DF2665" w:rsidRPr="00C43543">
        <w:rPr>
          <w:szCs w:val="28"/>
          <w14:ligatures w14:val="standardContextual"/>
        </w:rPr>
        <w:fldChar w:fldCharType="end"/>
      </w:r>
      <w:r w:rsidRPr="00C43543">
        <w:rPr>
          <w:szCs w:val="28"/>
          <w14:ligatures w14:val="standardContextual"/>
        </w:rPr>
        <w:t xml:space="preserve"> Monsanto’s reliance on the statute “necessarily presumes that [it] was intended to benefit from the protections of [Washington’s] law.” </w:t>
      </w:r>
      <w:r w:rsidR="00B55344" w:rsidRPr="00C43543">
        <w:rPr>
          <w:i/>
          <w:iCs/>
          <w:szCs w:val="28"/>
          <w14:ligatures w14:val="standardContextual"/>
        </w:rPr>
        <w:t>Martin v. Good Year Tire &amp; Rubber Co</w:t>
      </w:r>
      <w:r w:rsidR="00B55344" w:rsidRPr="00C43543">
        <w:rPr>
          <w:szCs w:val="28"/>
          <w14:ligatures w14:val="standardContextual"/>
        </w:rPr>
        <w:t xml:space="preserve">., 114 </w:t>
      </w:r>
      <w:proofErr w:type="spellStart"/>
      <w:r w:rsidR="00B55344" w:rsidRPr="00C43543">
        <w:rPr>
          <w:szCs w:val="28"/>
          <w14:ligatures w14:val="standardContextual"/>
        </w:rPr>
        <w:t>Wn</w:t>
      </w:r>
      <w:proofErr w:type="spellEnd"/>
      <w:r w:rsidR="00B55344" w:rsidRPr="00C43543">
        <w:rPr>
          <w:szCs w:val="28"/>
          <w14:ligatures w14:val="standardContextual"/>
        </w:rPr>
        <w:t>. App. 823, 834, 61 P.3d 1196 (2003)</w:t>
      </w:r>
      <w:r w:rsidR="00DF2665" w:rsidRPr="00C43543">
        <w:rPr>
          <w:szCs w:val="28"/>
          <w14:ligatures w14:val="standardContextual"/>
        </w:rPr>
        <w:fldChar w:fldCharType="begin"/>
      </w:r>
      <w:r w:rsidR="00DF2665" w:rsidRPr="00C43543">
        <w:rPr>
          <w:szCs w:val="28"/>
          <w14:ligatures w14:val="standardContextual"/>
        </w:rPr>
        <w:instrText xml:space="preserve"> TA \l "</w:instrText>
      </w:r>
      <w:r w:rsidR="00DF2665" w:rsidRPr="00C43543">
        <w:rPr>
          <w:i/>
          <w:iCs/>
          <w:szCs w:val="28"/>
          <w14:ligatures w14:val="standardContextual"/>
        </w:rPr>
        <w:instrText>Martin v. Good Year Tire &amp; Rubber Co</w:instrText>
      </w:r>
      <w:r w:rsidR="00DF2665" w:rsidRPr="00C43543">
        <w:rPr>
          <w:szCs w:val="28"/>
          <w14:ligatures w14:val="standardContextual"/>
        </w:rPr>
        <w:instrText>.,</w:instrText>
      </w:r>
      <w:r w:rsidR="00DF2665" w:rsidRPr="00C43543">
        <w:rPr>
          <w:szCs w:val="28"/>
          <w14:ligatures w14:val="standardContextual"/>
        </w:rPr>
        <w:br/>
        <w:instrText xml:space="preserve">114 Wn. App. 823 61 P.3d 1196 (2003)" \s "Martin v. Good Year, 114 Wn. App. 823" \c 1 </w:instrText>
      </w:r>
      <w:r w:rsidR="00DF2665" w:rsidRPr="00C43543">
        <w:rPr>
          <w:szCs w:val="28"/>
          <w14:ligatures w14:val="standardContextual"/>
        </w:rPr>
        <w:fldChar w:fldCharType="end"/>
      </w:r>
      <w:r w:rsidRPr="00C43543">
        <w:rPr>
          <w:szCs w:val="28"/>
          <w14:ligatures w14:val="standardContextual"/>
        </w:rPr>
        <w:t xml:space="preserve">. But, as </w:t>
      </w:r>
      <w:r w:rsidRPr="00C43543">
        <w:rPr>
          <w:i/>
          <w:iCs/>
          <w:szCs w:val="28"/>
          <w14:ligatures w14:val="standardContextual"/>
        </w:rPr>
        <w:t>Spider Staging</w:t>
      </w:r>
      <w:r w:rsidRPr="00C43543">
        <w:rPr>
          <w:szCs w:val="28"/>
          <w14:ligatures w14:val="standardContextual"/>
        </w:rPr>
        <w:t xml:space="preserve"> explained, a state’s interest </w:t>
      </w:r>
      <w:r w:rsidRPr="00C43543">
        <w:rPr>
          <w:szCs w:val="28"/>
          <w14:ligatures w14:val="standardContextual"/>
        </w:rPr>
        <w:lastRenderedPageBreak/>
        <w:t>in “protect[</w:t>
      </w:r>
      <w:proofErr w:type="spellStart"/>
      <w:r w:rsidRPr="00C43543">
        <w:rPr>
          <w:szCs w:val="28"/>
          <w14:ligatures w14:val="standardContextual"/>
        </w:rPr>
        <w:t>ing</w:t>
      </w:r>
      <w:proofErr w:type="spellEnd"/>
      <w:r w:rsidRPr="00C43543">
        <w:rPr>
          <w:szCs w:val="28"/>
          <w14:ligatures w14:val="standardContextual"/>
        </w:rPr>
        <w:t xml:space="preserve">] defendants from excessive financial burdens </w:t>
      </w:r>
      <w:r w:rsidR="00311D21" w:rsidRPr="00C43543">
        <w:rPr>
          <w:szCs w:val="28"/>
          <w14:ligatures w14:val="standardContextual"/>
        </w:rPr>
        <w:t xml:space="preserve">. . . </w:t>
      </w:r>
      <w:r w:rsidRPr="00C43543">
        <w:rPr>
          <w:szCs w:val="28"/>
          <w14:ligatures w14:val="standardContextual"/>
        </w:rPr>
        <w:t>is primarily local; that is, a state by enacting a damage limitation seeks to protect its own residents.” 87 Wn.2d at 582-83</w:t>
      </w:r>
      <w:r w:rsidR="00DF2665" w:rsidRPr="00C43543">
        <w:rPr>
          <w:szCs w:val="28"/>
          <w14:ligatures w14:val="standardContextual"/>
        </w:rPr>
        <w:fldChar w:fldCharType="begin"/>
      </w:r>
      <w:r w:rsidR="00DF2665" w:rsidRPr="00C43543">
        <w:rPr>
          <w:szCs w:val="28"/>
          <w14:ligatures w14:val="standardContextual"/>
        </w:rPr>
        <w:instrText xml:space="preserve"> TA \s "Spider Staging Co., 87 Wn.2d 577" </w:instrText>
      </w:r>
      <w:r w:rsidR="00DF2665" w:rsidRPr="00C43543">
        <w:rPr>
          <w:szCs w:val="28"/>
          <w14:ligatures w14:val="standardContextual"/>
        </w:rPr>
        <w:fldChar w:fldCharType="end"/>
      </w:r>
      <w:r w:rsidRPr="00C43543">
        <w:rPr>
          <w:szCs w:val="28"/>
          <w14:ligatures w14:val="standardContextual"/>
        </w:rPr>
        <w:t xml:space="preserve">. The purpose of Washington’s statute of repose, in other words, is “protecting </w:t>
      </w:r>
      <w:r w:rsidRPr="00C43543">
        <w:rPr>
          <w:i/>
          <w:iCs/>
          <w:szCs w:val="28"/>
          <w14:ligatures w14:val="standardContextual"/>
        </w:rPr>
        <w:t>Washington</w:t>
      </w:r>
      <w:r w:rsidRPr="00C43543">
        <w:rPr>
          <w:szCs w:val="28"/>
          <w14:ligatures w14:val="standardContextual"/>
        </w:rPr>
        <w:t xml:space="preserve"> industries from excessive litigation.”</w:t>
      </w:r>
      <w:r w:rsidRPr="00C43543">
        <w:rPr>
          <w:i/>
          <w:iCs/>
          <w:szCs w:val="28"/>
          <w14:ligatures w14:val="standardContextual"/>
        </w:rPr>
        <w:t xml:space="preserve"> Zenaida-Garcia</w:t>
      </w:r>
      <w:r w:rsidRPr="00C43543">
        <w:rPr>
          <w:szCs w:val="28"/>
          <w14:ligatures w14:val="standardContextual"/>
        </w:rPr>
        <w:t xml:space="preserve">, 128 </w:t>
      </w:r>
      <w:proofErr w:type="spellStart"/>
      <w:r w:rsidRPr="00C43543">
        <w:rPr>
          <w:szCs w:val="28"/>
          <w14:ligatures w14:val="standardContextual"/>
        </w:rPr>
        <w:t>Wn</w:t>
      </w:r>
      <w:proofErr w:type="spellEnd"/>
      <w:r w:rsidRPr="00C43543">
        <w:rPr>
          <w:szCs w:val="28"/>
          <w14:ligatures w14:val="standardContextual"/>
        </w:rPr>
        <w:t>. App. at 264</w:t>
      </w:r>
      <w:r w:rsidR="003C0FF9" w:rsidRPr="00C43543">
        <w:rPr>
          <w:szCs w:val="28"/>
          <w14:ligatures w14:val="standardContextual"/>
        </w:rPr>
        <w:fldChar w:fldCharType="begin"/>
      </w:r>
      <w:r w:rsidR="003C0FF9" w:rsidRPr="00C43543">
        <w:rPr>
          <w:szCs w:val="28"/>
          <w14:ligatures w14:val="standardContextual"/>
        </w:rPr>
        <w:instrText xml:space="preserve"> TA \s "Zenaida-Garcia, 128 Wn. App. 256" </w:instrText>
      </w:r>
      <w:r w:rsidR="003C0FF9" w:rsidRPr="00C43543">
        <w:rPr>
          <w:szCs w:val="28"/>
          <w14:ligatures w14:val="standardContextual"/>
        </w:rPr>
        <w:fldChar w:fldCharType="end"/>
      </w:r>
      <w:r w:rsidRPr="00C43543">
        <w:rPr>
          <w:szCs w:val="28"/>
          <w14:ligatures w14:val="standardContextual"/>
        </w:rPr>
        <w:t xml:space="preserve"> (emphasis added).</w:t>
      </w:r>
    </w:p>
    <w:p w14:paraId="3B135094" w14:textId="52F370E5" w:rsidR="00DF4DD8" w:rsidRPr="00C43543" w:rsidRDefault="00DF4DD8" w:rsidP="00DF4DD8">
      <w:pPr>
        <w:pStyle w:val="BodyText"/>
        <w:rPr>
          <w:szCs w:val="28"/>
          <w14:ligatures w14:val="standardContextual"/>
        </w:rPr>
      </w:pPr>
      <w:r w:rsidRPr="00C43543">
        <w:rPr>
          <w:szCs w:val="28"/>
          <w14:ligatures w14:val="standardContextual"/>
        </w:rPr>
        <w:t xml:space="preserve">Washington’s legislature made that purpose explicit. As the statute’s preamble explains, it was “the intent of the legislature that retail businesses located primarily </w:t>
      </w:r>
      <w:r w:rsidRPr="00C43543">
        <w:rPr>
          <w:i/>
          <w:iCs/>
          <w:szCs w:val="28"/>
          <w14:ligatures w14:val="standardContextual"/>
        </w:rPr>
        <w:t>in the state of Washington</w:t>
      </w:r>
      <w:r w:rsidRPr="00C43543">
        <w:rPr>
          <w:szCs w:val="28"/>
          <w14:ligatures w14:val="standardContextual"/>
        </w:rPr>
        <w:t xml:space="preserve"> be protected from the substantially increasing product liability insurance costs and unwarranted exposure to product liability litigation.” </w:t>
      </w:r>
      <w:r w:rsidR="003C0FF9" w:rsidRPr="00C43543">
        <w:rPr>
          <w:szCs w:val="28"/>
          <w14:ligatures w14:val="standardContextual"/>
        </w:rPr>
        <w:fldChar w:fldCharType="begin"/>
      </w:r>
      <w:r w:rsidR="003C0FF9" w:rsidRPr="00C43543">
        <w:rPr>
          <w:szCs w:val="28"/>
          <w14:ligatures w14:val="standardContextual"/>
        </w:rPr>
        <w:instrText xml:space="preserve"> TA \l "RCW</w:instrText>
      </w:r>
      <w:r w:rsidR="003C0FF9" w:rsidRPr="00C43543">
        <w:rPr>
          <w:i/>
          <w:iCs/>
          <w:szCs w:val="28"/>
          <w14:ligatures w14:val="standardContextual"/>
        </w:rPr>
        <w:instrText xml:space="preserve"> </w:instrText>
      </w:r>
      <w:r w:rsidR="003C0FF9" w:rsidRPr="00C43543">
        <w:rPr>
          <w:szCs w:val="28"/>
          <w14:ligatures w14:val="standardContextual"/>
        </w:rPr>
        <w:instrText xml:space="preserve">§ 7.72.010" \s "RCW § 7.72.010" \c 2 </w:instrText>
      </w:r>
      <w:r w:rsidR="003C0FF9" w:rsidRPr="00C43543">
        <w:rPr>
          <w:szCs w:val="28"/>
          <w14:ligatures w14:val="standardContextual"/>
        </w:rPr>
        <w:fldChar w:fldCharType="end"/>
      </w:r>
      <w:r w:rsidRPr="00C43543">
        <w:rPr>
          <w:szCs w:val="28"/>
          <w14:ligatures w14:val="standardContextual"/>
        </w:rPr>
        <w:t xml:space="preserve">RCW 7.72.010 (emphasis added). The bill was championed by Washington businesses, including the state’s flagship manufacturer, Boeing. </w:t>
      </w:r>
      <w:r w:rsidRPr="00C43543">
        <w:rPr>
          <w:i/>
          <w:iCs/>
          <w:szCs w:val="28"/>
          <w14:ligatures w14:val="standardContextual"/>
        </w:rPr>
        <w:t xml:space="preserve">See </w:t>
      </w:r>
      <w:r w:rsidRPr="00C43543">
        <w:rPr>
          <w:szCs w:val="28"/>
          <w14:ligatures w14:val="standardContextual"/>
        </w:rPr>
        <w:t>H. Comm. on Law &amp; Justice, Rep. on S. 3158, at 1 (Wash. Comm. Rec. 1981)</w:t>
      </w:r>
      <w:r w:rsidR="003C0FF9" w:rsidRPr="00C43543">
        <w:rPr>
          <w:szCs w:val="28"/>
          <w14:ligatures w14:val="standardContextual"/>
        </w:rPr>
        <w:fldChar w:fldCharType="begin"/>
      </w:r>
      <w:r w:rsidR="003C0FF9" w:rsidRPr="00C43543">
        <w:rPr>
          <w:szCs w:val="28"/>
          <w14:ligatures w14:val="standardContextual"/>
        </w:rPr>
        <w:instrText xml:space="preserve"> TA \l "House Committee on Law &amp; Justice, Rep. on S. 3158, at 1 (Wash. Comm. Rec. 1981)" \s "H. Comm. on Law &amp; Justice, Rep. on S. 3158, at 1 (Wash. Comm. Rec. 1981)" \c 3 </w:instrText>
      </w:r>
      <w:r w:rsidR="003C0FF9" w:rsidRPr="00C43543">
        <w:rPr>
          <w:szCs w:val="28"/>
          <w14:ligatures w14:val="standardContextual"/>
        </w:rPr>
        <w:fldChar w:fldCharType="end"/>
      </w:r>
      <w:r w:rsidRPr="00C43543">
        <w:rPr>
          <w:szCs w:val="28"/>
          <w14:ligatures w14:val="standardContextual"/>
        </w:rPr>
        <w:t xml:space="preserve">. </w:t>
      </w:r>
    </w:p>
    <w:p w14:paraId="6F0704B8" w14:textId="0ED1ECB5" w:rsidR="00DF4DD8" w:rsidRPr="00C43543" w:rsidRDefault="00DF4DD8" w:rsidP="00DF4DD8">
      <w:pPr>
        <w:pStyle w:val="BodyText"/>
        <w:rPr>
          <w:szCs w:val="28"/>
          <w14:ligatures w14:val="standardContextual"/>
        </w:rPr>
      </w:pPr>
      <w:r w:rsidRPr="00C43543">
        <w:rPr>
          <w:szCs w:val="28"/>
          <w14:ligatures w14:val="standardContextual"/>
        </w:rPr>
        <w:t xml:space="preserve">The legislature’s “intention to protect local businesses and manufacturers is not furthered by applying [Washington] law to immunize” Monsanto from liability. </w:t>
      </w:r>
      <w:r w:rsidRPr="00C43543">
        <w:rPr>
          <w:i/>
          <w:iCs/>
          <w:szCs w:val="28"/>
          <w14:ligatures w14:val="standardContextual"/>
        </w:rPr>
        <w:t>Martin</w:t>
      </w:r>
      <w:r w:rsidRPr="00C43543">
        <w:rPr>
          <w:szCs w:val="28"/>
          <w14:ligatures w14:val="standardContextual"/>
        </w:rPr>
        <w:t xml:space="preserve">, 114 </w:t>
      </w:r>
      <w:proofErr w:type="spellStart"/>
      <w:r w:rsidRPr="00C43543">
        <w:rPr>
          <w:szCs w:val="28"/>
          <w14:ligatures w14:val="standardContextual"/>
        </w:rPr>
        <w:t>Wn</w:t>
      </w:r>
      <w:proofErr w:type="spellEnd"/>
      <w:r w:rsidRPr="00C43543">
        <w:rPr>
          <w:szCs w:val="28"/>
          <w14:ligatures w14:val="standardContextual"/>
        </w:rPr>
        <w:t>. App. at 834-35</w:t>
      </w:r>
      <w:r w:rsidR="003C0FF9" w:rsidRPr="00C43543">
        <w:rPr>
          <w:szCs w:val="28"/>
          <w14:ligatures w14:val="standardContextual"/>
        </w:rPr>
        <w:fldChar w:fldCharType="begin"/>
      </w:r>
      <w:r w:rsidR="003C0FF9" w:rsidRPr="00C43543">
        <w:rPr>
          <w:szCs w:val="28"/>
          <w14:ligatures w14:val="standardContextual"/>
        </w:rPr>
        <w:instrText xml:space="preserve"> TA \s "Martin v. Good Year, 114 Wn. App. 823" </w:instrText>
      </w:r>
      <w:r w:rsidR="003C0FF9"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 xml:space="preserve">see </w:t>
      </w:r>
      <w:r w:rsidRPr="00C43543">
        <w:rPr>
          <w:szCs w:val="28"/>
          <w14:ligatures w14:val="standardContextual"/>
        </w:rPr>
        <w:t xml:space="preserve">Martin, </w:t>
      </w:r>
      <w:r w:rsidRPr="00C43543">
        <w:rPr>
          <w:i/>
          <w:iCs/>
          <w:szCs w:val="28"/>
          <w14:ligatures w14:val="standardContextual"/>
        </w:rPr>
        <w:t>A Statute of Repose for Product Liability Claims</w:t>
      </w:r>
      <w:r w:rsidRPr="00C43543">
        <w:rPr>
          <w:szCs w:val="28"/>
          <w14:ligatures w14:val="standardContextual"/>
        </w:rPr>
        <w:t>, 50 Fordham. L. Rev. 745, 771 n.142 (1982)</w:t>
      </w:r>
      <w:r w:rsidR="003C0FF9" w:rsidRPr="00C43543">
        <w:rPr>
          <w:szCs w:val="28"/>
          <w14:ligatures w14:val="standardContextual"/>
        </w:rPr>
        <w:fldChar w:fldCharType="begin"/>
      </w:r>
      <w:r w:rsidR="003C0FF9" w:rsidRPr="00C43543">
        <w:rPr>
          <w:szCs w:val="28"/>
          <w14:ligatures w14:val="standardContextual"/>
        </w:rPr>
        <w:instrText xml:space="preserve"> TA \l "Martin,</w:instrText>
      </w:r>
      <w:r w:rsidR="003C0FF9" w:rsidRPr="00C43543">
        <w:rPr>
          <w:szCs w:val="28"/>
          <w14:ligatures w14:val="standardContextual"/>
        </w:rPr>
        <w:br/>
      </w:r>
      <w:r w:rsidR="003C0FF9" w:rsidRPr="00C43543">
        <w:rPr>
          <w:i/>
          <w:iCs/>
          <w:szCs w:val="28"/>
          <w14:ligatures w14:val="standardContextual"/>
        </w:rPr>
        <w:instrText>A Statute of Repose for Product Liability Claims</w:instrText>
      </w:r>
      <w:r w:rsidR="003C0FF9" w:rsidRPr="00C43543">
        <w:rPr>
          <w:szCs w:val="28"/>
          <w14:ligatures w14:val="standardContextual"/>
        </w:rPr>
        <w:instrText xml:space="preserve">, 50 Fordham. L. Rev. 745 (1982)" \s "Martin, A Statute of Repose for Product Liability Claims, 50 Fordham. L. Rev. 745, 771 n.142 (1982)" \c 3 </w:instrText>
      </w:r>
      <w:r w:rsidR="003C0FF9" w:rsidRPr="00C43543">
        <w:rPr>
          <w:szCs w:val="28"/>
          <w14:ligatures w14:val="standardContextual"/>
        </w:rPr>
        <w:fldChar w:fldCharType="end"/>
      </w:r>
      <w:r w:rsidRPr="00C43543">
        <w:rPr>
          <w:szCs w:val="28"/>
          <w14:ligatures w14:val="standardContextual"/>
        </w:rPr>
        <w:t xml:space="preserve"> (protecting an out-of-state </w:t>
      </w:r>
      <w:r w:rsidRPr="00C43543">
        <w:rPr>
          <w:szCs w:val="28"/>
          <w14:ligatures w14:val="standardContextual"/>
        </w:rPr>
        <w:lastRenderedPageBreak/>
        <w:t xml:space="preserve">manufacturer “would not be within the statutory purpose”). Washington has “no interest in applying its limitation to nonresident defendants.” </w:t>
      </w:r>
      <w:r w:rsidRPr="00C43543">
        <w:rPr>
          <w:i/>
          <w:iCs/>
          <w:szCs w:val="28"/>
          <w14:ligatures w14:val="standardContextual"/>
        </w:rPr>
        <w:t>Spider Staging</w:t>
      </w:r>
      <w:r w:rsidRPr="00C43543">
        <w:rPr>
          <w:szCs w:val="28"/>
          <w14:ligatures w14:val="standardContextual"/>
        </w:rPr>
        <w:t>, 87 Wn.2d at 583-84</w:t>
      </w:r>
      <w:r w:rsidR="003C0FF9" w:rsidRPr="00C43543">
        <w:rPr>
          <w:szCs w:val="28"/>
          <w14:ligatures w14:val="standardContextual"/>
        </w:rPr>
        <w:fldChar w:fldCharType="begin"/>
      </w:r>
      <w:r w:rsidR="003C0FF9" w:rsidRPr="00C43543">
        <w:rPr>
          <w:szCs w:val="28"/>
          <w14:ligatures w14:val="standardContextual"/>
        </w:rPr>
        <w:instrText xml:space="preserve"> TA \s "Spider Staging Co., 87 Wn.2d 577" </w:instrText>
      </w:r>
      <w:r w:rsidR="003C0FF9" w:rsidRPr="00C43543">
        <w:rPr>
          <w:szCs w:val="28"/>
          <w14:ligatures w14:val="standardContextual"/>
        </w:rPr>
        <w:fldChar w:fldCharType="end"/>
      </w:r>
      <w:r w:rsidRPr="00C43543">
        <w:rPr>
          <w:szCs w:val="28"/>
          <w14:ligatures w14:val="standardContextual"/>
        </w:rPr>
        <w:t xml:space="preserve">. Its “interest in limiting suits” therefore “should not foreclose lawsuits concerning conduct that occurred wholly within another state’s boundaries.” </w:t>
      </w:r>
      <w:proofErr w:type="spellStart"/>
      <w:r w:rsidR="00B55344" w:rsidRPr="00C43543">
        <w:rPr>
          <w:i/>
          <w:iCs/>
          <w:szCs w:val="28"/>
          <w14:ligatures w14:val="standardContextual"/>
        </w:rPr>
        <w:t>Ehrenfelt</w:t>
      </w:r>
      <w:proofErr w:type="spellEnd"/>
      <w:r w:rsidR="00B55344" w:rsidRPr="00C43543">
        <w:rPr>
          <w:i/>
          <w:iCs/>
          <w:szCs w:val="28"/>
          <w14:ligatures w14:val="standardContextual"/>
        </w:rPr>
        <w:t xml:space="preserve"> v. Janssen Pharms., Inc.</w:t>
      </w:r>
      <w:r w:rsidR="00B55344" w:rsidRPr="00C43543">
        <w:rPr>
          <w:szCs w:val="28"/>
          <w14:ligatures w14:val="standardContextual"/>
        </w:rPr>
        <w:t>, 2016 WL 7335922</w:t>
      </w:r>
      <w:r w:rsidR="00240B4D" w:rsidRPr="00C43543">
        <w:rPr>
          <w:szCs w:val="28"/>
          <w14:ligatures w14:val="standardContextual"/>
        </w:rPr>
        <w:t>,</w:t>
      </w:r>
      <w:r w:rsidR="00B55344" w:rsidRPr="00C43543">
        <w:rPr>
          <w:szCs w:val="28"/>
          <w14:ligatures w14:val="standardContextual"/>
        </w:rPr>
        <w:t xml:space="preserve"> at *7 </w:t>
      </w:r>
      <w:r w:rsidRPr="00C43543">
        <w:rPr>
          <w:szCs w:val="28"/>
          <w14:ligatures w14:val="standardContextual"/>
        </w:rPr>
        <w:t>(W.D. Tenn. June 23, 2016)</w:t>
      </w:r>
      <w:r w:rsidR="003C0FF9" w:rsidRPr="00C43543">
        <w:rPr>
          <w:szCs w:val="28"/>
          <w14:ligatures w14:val="standardContextual"/>
        </w:rPr>
        <w:fldChar w:fldCharType="begin"/>
      </w:r>
      <w:r w:rsidR="003C0FF9" w:rsidRPr="00C43543">
        <w:rPr>
          <w:szCs w:val="28"/>
          <w14:ligatures w14:val="standardContextual"/>
        </w:rPr>
        <w:instrText xml:space="preserve"> TA \l "</w:instrText>
      </w:r>
      <w:r w:rsidR="003C0FF9" w:rsidRPr="00C43543">
        <w:rPr>
          <w:i/>
          <w:iCs/>
          <w:szCs w:val="28"/>
          <w14:ligatures w14:val="standardContextual"/>
        </w:rPr>
        <w:instrText>Ehrenfelt v. Janssen Pharmaceuticals, Inc.</w:instrText>
      </w:r>
      <w:r w:rsidR="003C0FF9" w:rsidRPr="00C43543">
        <w:rPr>
          <w:szCs w:val="28"/>
          <w14:ligatures w14:val="standardContextual"/>
        </w:rPr>
        <w:instrText>,</w:instrText>
      </w:r>
      <w:r w:rsidR="003C0FF9" w:rsidRPr="00C43543">
        <w:rPr>
          <w:szCs w:val="28"/>
          <w14:ligatures w14:val="standardContextual"/>
        </w:rPr>
        <w:br/>
        <w:instrText xml:space="preserve">2016 WL 7335922 (W.D. Tenn. June 23, 2016)" \s "Ehrenfelt v. Janssen Pharms., Inc., No. 15-cv-2558, 2016 WL 7335922 at *7 (W.D. Tenn. June 23, 2016)" \c 1 </w:instrText>
      </w:r>
      <w:r w:rsidR="003C0FF9"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Mitchell v. Lone Star Ammunition, Inc.</w:t>
      </w:r>
      <w:r w:rsidRPr="00C43543">
        <w:rPr>
          <w:szCs w:val="28"/>
          <w14:ligatures w14:val="standardContextual"/>
        </w:rPr>
        <w:t>, 913 F.2d 242, 250 (5th Cir. 1990)</w:t>
      </w:r>
      <w:r w:rsidR="003C0FF9" w:rsidRPr="00C43543">
        <w:rPr>
          <w:szCs w:val="28"/>
          <w14:ligatures w14:val="standardContextual"/>
        </w:rPr>
        <w:fldChar w:fldCharType="begin"/>
      </w:r>
      <w:r w:rsidR="003C0FF9" w:rsidRPr="00C43543">
        <w:rPr>
          <w:szCs w:val="28"/>
          <w14:ligatures w14:val="standardContextual"/>
        </w:rPr>
        <w:instrText xml:space="preserve"> TA \l "</w:instrText>
      </w:r>
      <w:r w:rsidR="003C0FF9" w:rsidRPr="00C43543">
        <w:rPr>
          <w:i/>
          <w:iCs/>
          <w:szCs w:val="28"/>
          <w14:ligatures w14:val="standardContextual"/>
        </w:rPr>
        <w:instrText>Mitchell v. Lone Star Ammunition, Inc.</w:instrText>
      </w:r>
      <w:r w:rsidR="003C0FF9" w:rsidRPr="00C43543">
        <w:rPr>
          <w:szCs w:val="28"/>
          <w14:ligatures w14:val="standardContextual"/>
        </w:rPr>
        <w:instrText>,</w:instrText>
      </w:r>
      <w:r w:rsidR="003C0FF9" w:rsidRPr="00C43543">
        <w:rPr>
          <w:szCs w:val="28"/>
          <w14:ligatures w14:val="standardContextual"/>
        </w:rPr>
        <w:br/>
        <w:instrText xml:space="preserve">913 F.2d 242 (5th Cir. 1990)" \s "Mitchell v. Lone Star, 913 F.2d 242" \c 1 </w:instrText>
      </w:r>
      <w:r w:rsidR="003C0FF9" w:rsidRPr="00C43543">
        <w:rPr>
          <w:szCs w:val="28"/>
          <w14:ligatures w14:val="standardContextual"/>
        </w:rPr>
        <w:fldChar w:fldCharType="end"/>
      </w:r>
      <w:r w:rsidRPr="00C43543">
        <w:rPr>
          <w:szCs w:val="28"/>
          <w14:ligatures w14:val="standardContextual"/>
        </w:rPr>
        <w:t xml:space="preserve"> (finding no reason to extend local law on repose to bar claims against out-of-state manufacturers). </w:t>
      </w:r>
    </w:p>
    <w:p w14:paraId="7B4D0791" w14:textId="02579311" w:rsidR="00DF4DD8" w:rsidRPr="00C43543" w:rsidRDefault="00DF4DD8" w:rsidP="00DF4DD8">
      <w:pPr>
        <w:pStyle w:val="BodyText"/>
        <w:rPr>
          <w:szCs w:val="28"/>
          <w14:ligatures w14:val="standardContextual"/>
        </w:rPr>
      </w:pPr>
      <w:r w:rsidRPr="00C43543">
        <w:rPr>
          <w:i/>
          <w:iCs/>
          <w:szCs w:val="28"/>
          <w14:ligatures w14:val="standardContextual"/>
        </w:rPr>
        <w:t>Second</w:t>
      </w:r>
      <w:r w:rsidRPr="00C43543">
        <w:rPr>
          <w:szCs w:val="28"/>
          <w14:ligatures w14:val="standardContextual"/>
        </w:rPr>
        <w:t xml:space="preserve">, application of Washington’s statute of repose “would not protect [Washington] </w:t>
      </w:r>
      <w:proofErr w:type="gramStart"/>
      <w:r w:rsidRPr="00C43543">
        <w:rPr>
          <w:szCs w:val="28"/>
          <w14:ligatures w14:val="standardContextual"/>
        </w:rPr>
        <w:t>residents, but</w:t>
      </w:r>
      <w:proofErr w:type="gramEnd"/>
      <w:r w:rsidRPr="00C43543">
        <w:rPr>
          <w:szCs w:val="28"/>
          <w14:ligatures w14:val="standardContextual"/>
        </w:rPr>
        <w:t xml:space="preserve"> would merely limit their ability to recover damages.” </w:t>
      </w:r>
      <w:r w:rsidRPr="00C43543">
        <w:rPr>
          <w:i/>
          <w:iCs/>
          <w:szCs w:val="28"/>
          <w14:ligatures w14:val="standardContextual"/>
        </w:rPr>
        <w:t>Zenaida-Garcia</w:t>
      </w:r>
      <w:r w:rsidRPr="00C43543">
        <w:rPr>
          <w:szCs w:val="28"/>
          <w14:ligatures w14:val="standardContextual"/>
        </w:rPr>
        <w:t xml:space="preserve">, 128 </w:t>
      </w:r>
      <w:proofErr w:type="spellStart"/>
      <w:r w:rsidRPr="00C43543">
        <w:rPr>
          <w:szCs w:val="28"/>
          <w14:ligatures w14:val="standardContextual"/>
        </w:rPr>
        <w:t>Wn</w:t>
      </w:r>
      <w:proofErr w:type="spellEnd"/>
      <w:r w:rsidRPr="00C43543">
        <w:rPr>
          <w:szCs w:val="28"/>
          <w14:ligatures w14:val="standardContextual"/>
        </w:rPr>
        <w:t>. App. at 266.</w:t>
      </w:r>
      <w:r w:rsidR="003C0FF9" w:rsidRPr="00C43543">
        <w:rPr>
          <w:szCs w:val="28"/>
          <w14:ligatures w14:val="standardContextual"/>
        </w:rPr>
        <w:fldChar w:fldCharType="begin"/>
      </w:r>
      <w:r w:rsidR="003C0FF9" w:rsidRPr="00C43543">
        <w:rPr>
          <w:szCs w:val="28"/>
          <w14:ligatures w14:val="standardContextual"/>
        </w:rPr>
        <w:instrText xml:space="preserve"> TA \s "Zenaida-Garcia, 128 Wn. App. 256" </w:instrText>
      </w:r>
      <w:r w:rsidR="003C0FF9" w:rsidRPr="00C43543">
        <w:rPr>
          <w:szCs w:val="28"/>
          <w14:ligatures w14:val="standardContextual"/>
        </w:rPr>
        <w:fldChar w:fldCharType="end"/>
      </w:r>
      <w:r w:rsidRPr="00C43543">
        <w:rPr>
          <w:szCs w:val="28"/>
          <w14:ligatures w14:val="standardContextual"/>
        </w:rPr>
        <w:t xml:space="preserve"> The legislature intended “that the right of the consumer to recover for injuries sustained as a result of an unsafe product </w:t>
      </w:r>
      <w:proofErr w:type="gramStart"/>
      <w:r w:rsidRPr="00C43543">
        <w:rPr>
          <w:szCs w:val="28"/>
          <w14:ligatures w14:val="standardContextual"/>
        </w:rPr>
        <w:t>not be</w:t>
      </w:r>
      <w:proofErr w:type="gramEnd"/>
      <w:r w:rsidRPr="00C43543">
        <w:rPr>
          <w:szCs w:val="28"/>
          <w14:ligatures w14:val="standardContextual"/>
        </w:rPr>
        <w:t xml:space="preserve"> unduly impaired.” </w:t>
      </w:r>
      <w:r w:rsidR="00C604A2" w:rsidRPr="00C43543">
        <w:rPr>
          <w:i/>
          <w:iCs/>
          <w:szCs w:val="28"/>
          <w14:ligatures w14:val="standardContextual"/>
        </w:rPr>
        <w:t xml:space="preserve">Brewer v. </w:t>
      </w:r>
      <w:proofErr w:type="spellStart"/>
      <w:r w:rsidR="00C604A2" w:rsidRPr="00C43543">
        <w:rPr>
          <w:i/>
          <w:iCs/>
          <w:szCs w:val="28"/>
          <w14:ligatures w14:val="standardContextual"/>
        </w:rPr>
        <w:t>Fibreboard</w:t>
      </w:r>
      <w:proofErr w:type="spellEnd"/>
      <w:r w:rsidR="00C604A2" w:rsidRPr="00C43543">
        <w:rPr>
          <w:i/>
          <w:iCs/>
          <w:szCs w:val="28"/>
          <w14:ligatures w14:val="standardContextual"/>
        </w:rPr>
        <w:t xml:space="preserve"> Corp.</w:t>
      </w:r>
      <w:r w:rsidR="00C604A2" w:rsidRPr="00C43543">
        <w:rPr>
          <w:szCs w:val="28"/>
          <w14:ligatures w14:val="standardContextual"/>
        </w:rPr>
        <w:t>, 127 Wn.2d 512, 521, 901 P.2d 297 (1995)</w:t>
      </w:r>
      <w:r w:rsidR="003C0FF9" w:rsidRPr="00C43543">
        <w:rPr>
          <w:szCs w:val="28"/>
          <w14:ligatures w14:val="standardContextual"/>
        </w:rPr>
        <w:fldChar w:fldCharType="begin"/>
      </w:r>
      <w:r w:rsidR="003C0FF9" w:rsidRPr="00C43543">
        <w:rPr>
          <w:szCs w:val="28"/>
          <w14:ligatures w14:val="standardContextual"/>
        </w:rPr>
        <w:instrText xml:space="preserve"> TA \l "</w:instrText>
      </w:r>
      <w:r w:rsidR="003C0FF9" w:rsidRPr="00C43543">
        <w:rPr>
          <w:i/>
          <w:iCs/>
          <w:szCs w:val="28"/>
          <w14:ligatures w14:val="standardContextual"/>
        </w:rPr>
        <w:instrText>Brewer v. Fibreboard Corp.</w:instrText>
      </w:r>
      <w:r w:rsidR="003C0FF9" w:rsidRPr="00C43543">
        <w:rPr>
          <w:szCs w:val="28"/>
          <w14:ligatures w14:val="standardContextual"/>
        </w:rPr>
        <w:instrText>,</w:instrText>
      </w:r>
      <w:r w:rsidR="003C0FF9" w:rsidRPr="00C43543">
        <w:rPr>
          <w:szCs w:val="28"/>
          <w14:ligatures w14:val="standardContextual"/>
        </w:rPr>
        <w:br/>
        <w:instrText xml:space="preserve">127 Wn.2d 512, 901 P.2d 297 (1995)" \s "Brewer v. Fibreboard, 127 Wn.2d 512" \c 1 </w:instrText>
      </w:r>
      <w:r w:rsidR="003C0FF9" w:rsidRPr="00C43543">
        <w:rPr>
          <w:szCs w:val="28"/>
          <w14:ligatures w14:val="standardContextual"/>
        </w:rPr>
        <w:fldChar w:fldCharType="end"/>
      </w:r>
      <w:r w:rsidRPr="00C43543">
        <w:rPr>
          <w:szCs w:val="28"/>
          <w14:ligatures w14:val="standardContextual"/>
        </w:rPr>
        <w:t xml:space="preserve">. For that reason, this Court has noted, Washington’s statute of repose “adopts a [relatively] consumer-friendly approach,” </w:t>
      </w:r>
      <w:r w:rsidRPr="00C43543">
        <w:rPr>
          <w:i/>
          <w:iCs/>
          <w:szCs w:val="28"/>
          <w14:ligatures w14:val="standardContextual"/>
        </w:rPr>
        <w:t>Martin</w:t>
      </w:r>
      <w:r w:rsidRPr="00C43543">
        <w:rPr>
          <w:szCs w:val="28"/>
          <w14:ligatures w14:val="standardContextual"/>
        </w:rPr>
        <w:t xml:space="preserve">, 114 </w:t>
      </w:r>
      <w:proofErr w:type="spellStart"/>
      <w:r w:rsidRPr="00C43543">
        <w:rPr>
          <w:szCs w:val="28"/>
          <w14:ligatures w14:val="standardContextual"/>
        </w:rPr>
        <w:t>Wn</w:t>
      </w:r>
      <w:proofErr w:type="spellEnd"/>
      <w:r w:rsidRPr="00C43543">
        <w:rPr>
          <w:szCs w:val="28"/>
          <w14:ligatures w14:val="standardContextual"/>
        </w:rPr>
        <w:t>. App. at 833</w:t>
      </w:r>
      <w:r w:rsidR="003C0FF9" w:rsidRPr="00C43543">
        <w:rPr>
          <w:szCs w:val="28"/>
          <w14:ligatures w14:val="standardContextual"/>
        </w:rPr>
        <w:fldChar w:fldCharType="begin"/>
      </w:r>
      <w:r w:rsidR="003C0FF9" w:rsidRPr="00C43543">
        <w:rPr>
          <w:szCs w:val="28"/>
          <w14:ligatures w14:val="standardContextual"/>
        </w:rPr>
        <w:instrText xml:space="preserve"> TA \s "Martin v. Good Year, 114 Wn. App. 823" </w:instrText>
      </w:r>
      <w:r w:rsidR="003C0FF9" w:rsidRPr="00C43543">
        <w:rPr>
          <w:szCs w:val="28"/>
          <w14:ligatures w14:val="standardContextual"/>
        </w:rPr>
        <w:fldChar w:fldCharType="end"/>
      </w:r>
      <w:r w:rsidRPr="00C43543">
        <w:rPr>
          <w:szCs w:val="28"/>
          <w14:ligatures w14:val="standardContextual"/>
        </w:rPr>
        <w:t xml:space="preserve">, including a twelve-year repose period </w:t>
      </w:r>
      <w:r w:rsidRPr="00C43543">
        <w:rPr>
          <w:szCs w:val="28"/>
          <w14:ligatures w14:val="standardContextual"/>
        </w:rPr>
        <w:lastRenderedPageBreak/>
        <w:t xml:space="preserve">that, when it was adopted, was “the nation’s longest for product liability.” </w:t>
      </w:r>
      <w:r w:rsidRPr="00C43543">
        <w:rPr>
          <w:i/>
          <w:iCs/>
          <w:szCs w:val="28"/>
          <w14:ligatures w14:val="standardContextual"/>
        </w:rPr>
        <w:t xml:space="preserve">Zenaida-Garcia, </w:t>
      </w:r>
      <w:r w:rsidRPr="00C43543">
        <w:rPr>
          <w:szCs w:val="28"/>
          <w14:ligatures w14:val="standardContextual"/>
        </w:rPr>
        <w:t xml:space="preserve">128 </w:t>
      </w:r>
      <w:proofErr w:type="spellStart"/>
      <w:r w:rsidRPr="00C43543">
        <w:rPr>
          <w:szCs w:val="28"/>
          <w14:ligatures w14:val="standardContextual"/>
        </w:rPr>
        <w:t>Wn</w:t>
      </w:r>
      <w:proofErr w:type="spellEnd"/>
      <w:r w:rsidRPr="00C43543">
        <w:rPr>
          <w:szCs w:val="28"/>
          <w14:ligatures w14:val="standardContextual"/>
        </w:rPr>
        <w:t>. App. at 264</w:t>
      </w:r>
      <w:r w:rsidR="003C0FF9" w:rsidRPr="00C43543">
        <w:rPr>
          <w:szCs w:val="28"/>
          <w14:ligatures w14:val="standardContextual"/>
        </w:rPr>
        <w:fldChar w:fldCharType="begin"/>
      </w:r>
      <w:r w:rsidR="003C0FF9" w:rsidRPr="00C43543">
        <w:rPr>
          <w:szCs w:val="28"/>
          <w14:ligatures w14:val="standardContextual"/>
        </w:rPr>
        <w:instrText xml:space="preserve"> TA \s "Zenaida-Garcia, 128 Wn. App. 256" </w:instrText>
      </w:r>
      <w:r w:rsidR="003C0FF9" w:rsidRPr="00C43543">
        <w:rPr>
          <w:szCs w:val="28"/>
          <w14:ligatures w14:val="standardContextual"/>
        </w:rPr>
        <w:fldChar w:fldCharType="end"/>
      </w:r>
      <w:r w:rsidRPr="00C43543">
        <w:rPr>
          <w:szCs w:val="28"/>
          <w14:ligatures w14:val="standardContextual"/>
        </w:rPr>
        <w:t>.</w:t>
      </w:r>
    </w:p>
    <w:p w14:paraId="55284846" w14:textId="5552F53F" w:rsidR="00DF4DD8" w:rsidRPr="00C43543" w:rsidRDefault="00DF4DD8" w:rsidP="00DF4DD8">
      <w:pPr>
        <w:pStyle w:val="BodyText"/>
        <w:rPr>
          <w:szCs w:val="28"/>
          <w14:ligatures w14:val="standardContextual"/>
        </w:rPr>
      </w:pPr>
      <w:r w:rsidRPr="00C43543">
        <w:rPr>
          <w:szCs w:val="28"/>
          <w14:ligatures w14:val="standardContextual"/>
        </w:rPr>
        <w:t xml:space="preserve">Given Missouri’s lack of any repose period, Washington’s interest in protecting its consumers would not be “served by applying Washington law.” </w:t>
      </w:r>
      <w:r w:rsidRPr="00C43543">
        <w:rPr>
          <w:i/>
          <w:iCs/>
          <w:szCs w:val="28"/>
          <w14:ligatures w14:val="standardContextual"/>
        </w:rPr>
        <w:t>Martin</w:t>
      </w:r>
      <w:r w:rsidRPr="00C43543">
        <w:rPr>
          <w:szCs w:val="28"/>
          <w14:ligatures w14:val="standardContextual"/>
        </w:rPr>
        <w:t xml:space="preserve">, 114 </w:t>
      </w:r>
      <w:proofErr w:type="spellStart"/>
      <w:r w:rsidRPr="00C43543">
        <w:rPr>
          <w:szCs w:val="28"/>
          <w14:ligatures w14:val="standardContextual"/>
        </w:rPr>
        <w:t>Wn</w:t>
      </w:r>
      <w:proofErr w:type="spellEnd"/>
      <w:r w:rsidRPr="00C43543">
        <w:rPr>
          <w:szCs w:val="28"/>
          <w14:ligatures w14:val="standardContextual"/>
        </w:rPr>
        <w:t>. App. at 835</w:t>
      </w:r>
      <w:r w:rsidR="009F3F39" w:rsidRPr="00C43543">
        <w:rPr>
          <w:szCs w:val="28"/>
          <w14:ligatures w14:val="standardContextual"/>
        </w:rPr>
        <w:fldChar w:fldCharType="begin"/>
      </w:r>
      <w:r w:rsidR="009F3F39" w:rsidRPr="00C43543">
        <w:rPr>
          <w:szCs w:val="28"/>
          <w14:ligatures w14:val="standardContextual"/>
        </w:rPr>
        <w:instrText xml:space="preserve"> TA \s "Martin v. Good Year, 114 Wn. App. 823" </w:instrText>
      </w:r>
      <w:r w:rsidR="009F3F39" w:rsidRPr="00C43543">
        <w:rPr>
          <w:szCs w:val="28"/>
          <w14:ligatures w14:val="standardContextual"/>
        </w:rPr>
        <w:fldChar w:fldCharType="end"/>
      </w:r>
      <w:r w:rsidRPr="00C43543">
        <w:rPr>
          <w:szCs w:val="28"/>
          <w14:ligatures w14:val="standardContextual"/>
        </w:rPr>
        <w:t xml:space="preserve">. Rather than protecting those consumers, Washington’s statute of repose would “limit the damages of its own residents” without advancing any state interest. </w:t>
      </w:r>
      <w:r w:rsidRPr="00C43543">
        <w:rPr>
          <w:i/>
          <w:iCs/>
          <w:szCs w:val="28"/>
          <w14:ligatures w14:val="standardContextual"/>
        </w:rPr>
        <w:t>Spider Staging</w:t>
      </w:r>
      <w:r w:rsidRPr="00C43543">
        <w:rPr>
          <w:szCs w:val="28"/>
          <w14:ligatures w14:val="standardContextual"/>
        </w:rPr>
        <w:t>, 87 Wn.2d at 583</w:t>
      </w:r>
      <w:r w:rsidR="009F3F39" w:rsidRPr="00C43543">
        <w:rPr>
          <w:szCs w:val="28"/>
          <w14:ligatures w14:val="standardContextual"/>
        </w:rPr>
        <w:fldChar w:fldCharType="begin"/>
      </w:r>
      <w:r w:rsidR="009F3F39" w:rsidRPr="00C43543">
        <w:rPr>
          <w:szCs w:val="28"/>
          <w14:ligatures w14:val="standardContextual"/>
        </w:rPr>
        <w:instrText xml:space="preserve"> TA \s "Spider Staging Co., 87 Wn.2d 577" </w:instrText>
      </w:r>
      <w:r w:rsidR="009F3F39" w:rsidRPr="00C43543">
        <w:rPr>
          <w:szCs w:val="28"/>
          <w14:ligatures w14:val="standardContextual"/>
        </w:rPr>
        <w:fldChar w:fldCharType="end"/>
      </w:r>
      <w:r w:rsidRPr="00C43543">
        <w:rPr>
          <w:szCs w:val="28"/>
          <w14:ligatures w14:val="standardContextual"/>
        </w:rPr>
        <w:t>. Applying Missouri law would better compensate Washington consumers, better “deter tortious conduct,” and better “encourage [companies] to make safe products.”</w:t>
      </w:r>
      <w:r w:rsidRPr="00C43543">
        <w:rPr>
          <w:i/>
          <w:iCs/>
          <w:szCs w:val="28"/>
          <w14:ligatures w14:val="standardContextual"/>
        </w:rPr>
        <w:t xml:space="preserve"> Id.</w:t>
      </w:r>
      <w:r w:rsidR="009F3F39" w:rsidRPr="00C43543">
        <w:rPr>
          <w:i/>
          <w:iCs/>
          <w:szCs w:val="28"/>
          <w14:ligatures w14:val="standardContextual"/>
        </w:rPr>
        <w:fldChar w:fldCharType="begin"/>
      </w:r>
      <w:r w:rsidR="009F3F39" w:rsidRPr="00C43543">
        <w:rPr>
          <w:szCs w:val="28"/>
          <w14:ligatures w14:val="standardContextual"/>
        </w:rPr>
        <w:instrText xml:space="preserve"> TA \s "Spider Staging Co., 87 Wn.2d 577" </w:instrText>
      </w:r>
      <w:r w:rsidR="009F3F39" w:rsidRPr="00C43543">
        <w:rPr>
          <w:i/>
          <w:iCs/>
          <w:szCs w:val="28"/>
          <w14:ligatures w14:val="standardContextual"/>
        </w:rPr>
        <w:fldChar w:fldCharType="end"/>
      </w:r>
    </w:p>
    <w:p w14:paraId="0569965A" w14:textId="3A18C5BF" w:rsidR="00DF4DD8" w:rsidRPr="00C43543" w:rsidRDefault="00DF4DD8" w:rsidP="00DF4DD8">
      <w:pPr>
        <w:pStyle w:val="BodyText"/>
        <w:rPr>
          <w:szCs w:val="28"/>
          <w14:ligatures w14:val="standardContextual"/>
        </w:rPr>
      </w:pPr>
      <w:r w:rsidRPr="00C43543">
        <w:rPr>
          <w:szCs w:val="28"/>
          <w14:ligatures w14:val="standardContextual"/>
        </w:rPr>
        <w:t xml:space="preserve">In short, Missouri has “strong policy interests” in holding its manufacturers liable for defective products, while Washington has “no interest” in extending its statute of repose out of state. </w:t>
      </w:r>
      <w:r w:rsidRPr="00C43543">
        <w:rPr>
          <w:i/>
          <w:iCs/>
          <w:szCs w:val="28"/>
          <w14:ligatures w14:val="standardContextual"/>
        </w:rPr>
        <w:t>Zenaida-Garcia</w:t>
      </w:r>
      <w:r w:rsidRPr="00C43543">
        <w:rPr>
          <w:szCs w:val="28"/>
          <w14:ligatures w14:val="standardContextual"/>
        </w:rPr>
        <w:t xml:space="preserve">, 128 </w:t>
      </w:r>
      <w:proofErr w:type="spellStart"/>
      <w:r w:rsidRPr="00C43543">
        <w:rPr>
          <w:szCs w:val="28"/>
          <w14:ligatures w14:val="standardContextual"/>
        </w:rPr>
        <w:t>Wn</w:t>
      </w:r>
      <w:proofErr w:type="spellEnd"/>
      <w:r w:rsidRPr="00C43543">
        <w:rPr>
          <w:szCs w:val="28"/>
          <w14:ligatures w14:val="standardContextual"/>
        </w:rPr>
        <w:t>. App. at 265-66</w:t>
      </w:r>
      <w:r w:rsidR="009F3F39" w:rsidRPr="00C43543">
        <w:rPr>
          <w:szCs w:val="28"/>
          <w14:ligatures w14:val="standardContextual"/>
        </w:rPr>
        <w:fldChar w:fldCharType="begin"/>
      </w:r>
      <w:r w:rsidR="009F3F39" w:rsidRPr="00C43543">
        <w:rPr>
          <w:szCs w:val="28"/>
          <w14:ligatures w14:val="standardContextual"/>
        </w:rPr>
        <w:instrText xml:space="preserve"> TA \s "Zenaida-Garcia, 128 Wn. App. 256" </w:instrText>
      </w:r>
      <w:r w:rsidR="009F3F39" w:rsidRPr="00C43543">
        <w:rPr>
          <w:szCs w:val="28"/>
          <w14:ligatures w14:val="standardContextual"/>
        </w:rPr>
        <w:fldChar w:fldCharType="end"/>
      </w:r>
      <w:r w:rsidRPr="00C43543">
        <w:rPr>
          <w:szCs w:val="28"/>
          <w14:ligatures w14:val="standardContextual"/>
        </w:rPr>
        <w:t xml:space="preserve">. “When one of two states related to a case has a legitimate interest in the application of its law and the other state has no such interest, clearly the interested state’s law should apply.” </w:t>
      </w:r>
      <w:r w:rsidRPr="00C43543">
        <w:rPr>
          <w:i/>
          <w:iCs/>
          <w:szCs w:val="28"/>
          <w14:ligatures w14:val="standardContextual"/>
        </w:rPr>
        <w:t>Spider Staging</w:t>
      </w:r>
      <w:r w:rsidRPr="00C43543">
        <w:rPr>
          <w:szCs w:val="28"/>
          <w14:ligatures w14:val="standardContextual"/>
        </w:rPr>
        <w:t>, 87 Wn.2d at 583</w:t>
      </w:r>
      <w:r w:rsidR="004960DE" w:rsidRPr="00C43543">
        <w:rPr>
          <w:szCs w:val="28"/>
          <w14:ligatures w14:val="standardContextual"/>
        </w:rPr>
        <w:fldChar w:fldCharType="begin"/>
      </w:r>
      <w:r w:rsidR="004960DE" w:rsidRPr="00C43543">
        <w:rPr>
          <w:szCs w:val="28"/>
          <w14:ligatures w14:val="standardContextual"/>
        </w:rPr>
        <w:instrText xml:space="preserve"> TA \s "Spider Staging Co., 87 Wn.2d 577" </w:instrText>
      </w:r>
      <w:r w:rsidR="004960DE" w:rsidRPr="00C43543">
        <w:rPr>
          <w:szCs w:val="28"/>
          <w14:ligatures w14:val="standardContextual"/>
        </w:rPr>
        <w:fldChar w:fldCharType="end"/>
      </w:r>
      <w:r w:rsidRPr="00C43543">
        <w:rPr>
          <w:szCs w:val="28"/>
          <w14:ligatures w14:val="standardContextual"/>
        </w:rPr>
        <w:t xml:space="preserve">. Because that is the case here, the trial court properly applied Missouri law. As in </w:t>
      </w:r>
      <w:r w:rsidRPr="00C43543">
        <w:rPr>
          <w:i/>
          <w:iCs/>
          <w:szCs w:val="28"/>
          <w14:ligatures w14:val="standardContextual"/>
        </w:rPr>
        <w:t xml:space="preserve">Spider </w:t>
      </w:r>
      <w:r w:rsidRPr="00C43543">
        <w:rPr>
          <w:i/>
          <w:iCs/>
          <w:szCs w:val="28"/>
          <w14:ligatures w14:val="standardContextual"/>
        </w:rPr>
        <w:lastRenderedPageBreak/>
        <w:t xml:space="preserve">Staging </w:t>
      </w:r>
      <w:r w:rsidRPr="00C43543">
        <w:rPr>
          <w:szCs w:val="28"/>
          <w14:ligatures w14:val="standardContextual"/>
        </w:rPr>
        <w:t xml:space="preserve">and </w:t>
      </w:r>
      <w:r w:rsidRPr="00C43543">
        <w:rPr>
          <w:i/>
          <w:iCs/>
          <w:szCs w:val="28"/>
          <w14:ligatures w14:val="standardContextual"/>
        </w:rPr>
        <w:t>Zenaida-Garcia</w:t>
      </w:r>
      <w:r w:rsidRPr="00C43543">
        <w:rPr>
          <w:szCs w:val="28"/>
          <w14:ligatures w14:val="standardContextual"/>
        </w:rPr>
        <w:t xml:space="preserve">, the applicable law is the law of the state where the tortious conduct occurred. </w:t>
      </w:r>
    </w:p>
    <w:p w14:paraId="3EB9A3E8" w14:textId="633DF39A" w:rsidR="00DF4DD8" w:rsidRPr="00C43543" w:rsidRDefault="00C41AF0" w:rsidP="00DF4DD8">
      <w:pPr>
        <w:pStyle w:val="BodyText"/>
        <w:rPr>
          <w:szCs w:val="28"/>
          <w14:ligatures w14:val="standardContextual"/>
        </w:rPr>
      </w:pPr>
      <w:r w:rsidRPr="00C43543">
        <w:rPr>
          <w:b/>
          <w:bCs/>
          <w:i/>
          <w:iCs/>
          <w:szCs w:val="28"/>
          <w14:ligatures w14:val="standardContextual"/>
        </w:rPr>
        <w:t>2. Monsanto’s “hornbook</w:t>
      </w:r>
      <w:r w:rsidR="00316504" w:rsidRPr="00C43543">
        <w:rPr>
          <w:b/>
          <w:bCs/>
          <w:i/>
          <w:iCs/>
          <w:szCs w:val="28"/>
          <w14:ligatures w14:val="standardContextual"/>
        </w:rPr>
        <w:t>” rule.</w:t>
      </w:r>
      <w:r w:rsidR="00DF4DD8" w:rsidRPr="00C43543">
        <w:rPr>
          <w:b/>
          <w:bCs/>
          <w:szCs w:val="28"/>
          <w14:ligatures w14:val="standardContextual"/>
        </w:rPr>
        <w:t xml:space="preserve"> </w:t>
      </w:r>
      <w:r w:rsidR="00DF4DD8" w:rsidRPr="00C43543">
        <w:rPr>
          <w:szCs w:val="28"/>
          <w14:ligatures w14:val="standardContextual"/>
        </w:rPr>
        <w:t xml:space="preserve">Monsanto does not cite, much less attempt to distinguish, </w:t>
      </w:r>
      <w:r w:rsidR="00DF4DD8" w:rsidRPr="00C43543">
        <w:rPr>
          <w:i/>
          <w:iCs/>
          <w:szCs w:val="28"/>
          <w14:ligatures w14:val="standardContextual"/>
        </w:rPr>
        <w:t>Spider Staging</w:t>
      </w:r>
      <w:r w:rsidR="00DF4DD8" w:rsidRPr="00C43543">
        <w:rPr>
          <w:szCs w:val="28"/>
          <w14:ligatures w14:val="standardContextual"/>
        </w:rPr>
        <w:t>,</w:t>
      </w:r>
      <w:r w:rsidR="00DF4DD8" w:rsidRPr="00C43543">
        <w:rPr>
          <w:i/>
          <w:iCs/>
          <w:szCs w:val="28"/>
          <w14:ligatures w14:val="standardContextual"/>
        </w:rPr>
        <w:t xml:space="preserve"> Zenaida-Garcia</w:t>
      </w:r>
      <w:r w:rsidR="00DF4DD8" w:rsidRPr="00C43543">
        <w:rPr>
          <w:szCs w:val="28"/>
          <w14:ligatures w14:val="standardContextual"/>
        </w:rPr>
        <w:t xml:space="preserve">, or other Washington cases applying the state’s choice-of-law rules to its statute of repose. Nor does it make any effort to weigh the relative state policy interests, as the “most significant relationship” test requires. Instead, it relies on what it claims to be “hornbook law” providing that “whatever state’s law applies to the tort </w:t>
      </w:r>
      <w:r w:rsidR="00313CEC" w:rsidRPr="00C43543">
        <w:rPr>
          <w:szCs w:val="28"/>
          <w14:ligatures w14:val="standardContextual"/>
        </w:rPr>
        <w:t>. . .</w:t>
      </w:r>
      <w:r w:rsidR="00DF4DD8" w:rsidRPr="00C43543">
        <w:rPr>
          <w:szCs w:val="28"/>
          <w14:ligatures w14:val="standardContextual"/>
        </w:rPr>
        <w:t xml:space="preserve"> determines the statute of repose.” Br.</w:t>
      </w:r>
      <w:r w:rsidR="00313CEC" w:rsidRPr="00C43543">
        <w:rPr>
          <w:szCs w:val="28"/>
          <w14:ligatures w14:val="standardContextual"/>
        </w:rPr>
        <w:t xml:space="preserve"> </w:t>
      </w:r>
      <w:r w:rsidR="00DF4DD8" w:rsidRPr="00C43543">
        <w:rPr>
          <w:szCs w:val="28"/>
          <w14:ligatures w14:val="standardContextual"/>
        </w:rPr>
        <w:t xml:space="preserve">47. Applying that rule, Monsanto argues </w:t>
      </w:r>
      <w:r w:rsidR="00240B4D" w:rsidRPr="00C43543">
        <w:rPr>
          <w:szCs w:val="28"/>
          <w14:ligatures w14:val="standardContextual"/>
        </w:rPr>
        <w:t xml:space="preserve">(at 29-30) </w:t>
      </w:r>
      <w:r w:rsidR="00DF4DD8" w:rsidRPr="00C43543">
        <w:rPr>
          <w:szCs w:val="28"/>
          <w14:ligatures w14:val="standardContextual"/>
        </w:rPr>
        <w:t>that the plaintiffs’ “decision to bring claims under the WPLA”—standing alone</w:t>
      </w:r>
      <w:proofErr w:type="gramStart"/>
      <w:r w:rsidR="00DF4DD8" w:rsidRPr="00C43543">
        <w:rPr>
          <w:szCs w:val="28"/>
          <w14:ligatures w14:val="standardContextual"/>
        </w:rPr>
        <w:t>—</w:t>
      </w:r>
      <w:r w:rsidR="000A3487" w:rsidRPr="00C43543">
        <w:rPr>
          <w:szCs w:val="28"/>
          <w14:ligatures w14:val="standardContextual"/>
        </w:rPr>
        <w:t>“</w:t>
      </w:r>
      <w:proofErr w:type="gramEnd"/>
      <w:r w:rsidR="00DF4DD8" w:rsidRPr="00C43543">
        <w:rPr>
          <w:szCs w:val="28"/>
          <w14:ligatures w14:val="standardContextual"/>
        </w:rPr>
        <w:t>entitles [it] to the protections of the WPLA’s statute of repose.”</w:t>
      </w:r>
    </w:p>
    <w:p w14:paraId="72D1D15F" w14:textId="62DD5C96" w:rsidR="00DF4DD8" w:rsidRPr="00C43543" w:rsidRDefault="00DF4DD8" w:rsidP="00DF4DD8">
      <w:pPr>
        <w:pStyle w:val="BodyText"/>
        <w:rPr>
          <w:szCs w:val="28"/>
          <w14:ligatures w14:val="standardContextual"/>
        </w:rPr>
      </w:pPr>
      <w:r w:rsidRPr="00C43543">
        <w:rPr>
          <w:szCs w:val="28"/>
          <w14:ligatures w14:val="standardContextual"/>
        </w:rPr>
        <w:t xml:space="preserve">Monsanto backs up this claim (at 35-36) with citations to just four out-of-state decisions—none of which remotely adopts the rule it describes. The Second Circuit in </w:t>
      </w:r>
      <w:r w:rsidRPr="00C43543">
        <w:rPr>
          <w:i/>
          <w:iCs/>
          <w:szCs w:val="28"/>
          <w14:ligatures w14:val="standardContextual"/>
        </w:rPr>
        <w:t>Lazard Freres v. Protective Life Ins</w:t>
      </w:r>
      <w:r w:rsidR="00AB7BF3" w:rsidRPr="00C43543">
        <w:rPr>
          <w:i/>
          <w:iCs/>
          <w:szCs w:val="28"/>
          <w14:ligatures w14:val="standardContextual"/>
        </w:rPr>
        <w:t>urance</w:t>
      </w:r>
      <w:r w:rsidRPr="00C43543">
        <w:rPr>
          <w:i/>
          <w:iCs/>
          <w:szCs w:val="28"/>
          <w14:ligatures w14:val="standardContextual"/>
        </w:rPr>
        <w:t xml:space="preserve"> Co.</w:t>
      </w:r>
      <w:r w:rsidRPr="00C43543">
        <w:rPr>
          <w:szCs w:val="28"/>
          <w14:ligatures w14:val="standardContextual"/>
        </w:rPr>
        <w:t xml:space="preserve">, for example, found “no authority for the proposition that New York courts would apply the law of one jurisdiction to a </w:t>
      </w:r>
      <w:r w:rsidRPr="00C43543">
        <w:rPr>
          <w:i/>
          <w:iCs/>
          <w:szCs w:val="28"/>
          <w14:ligatures w14:val="standardContextual"/>
        </w:rPr>
        <w:t xml:space="preserve">breach of contract claim </w:t>
      </w:r>
      <w:r w:rsidRPr="00C43543">
        <w:rPr>
          <w:szCs w:val="28"/>
          <w14:ligatures w14:val="standardContextual"/>
        </w:rPr>
        <w:t xml:space="preserve">and the law of another jurisdiction to an affirmative defense to that claim.” 108 F.3d 1531, </w:t>
      </w:r>
      <w:r w:rsidRPr="00C43543">
        <w:rPr>
          <w:szCs w:val="28"/>
          <w14:ligatures w14:val="standardContextual"/>
        </w:rPr>
        <w:lastRenderedPageBreak/>
        <w:t>1540 (2d Cir. 1997)</w:t>
      </w:r>
      <w:r w:rsidR="004960DE" w:rsidRPr="00C43543">
        <w:rPr>
          <w:szCs w:val="28"/>
          <w14:ligatures w14:val="standardContextual"/>
        </w:rPr>
        <w:fldChar w:fldCharType="begin"/>
      </w:r>
      <w:r w:rsidR="004960DE" w:rsidRPr="00C43543">
        <w:rPr>
          <w:szCs w:val="28"/>
          <w14:ligatures w14:val="standardContextual"/>
        </w:rPr>
        <w:instrText xml:space="preserve"> TA \l "</w:instrText>
      </w:r>
      <w:r w:rsidR="004960DE" w:rsidRPr="00C43543">
        <w:rPr>
          <w:i/>
          <w:iCs/>
          <w:szCs w:val="28"/>
          <w14:ligatures w14:val="standardContextual"/>
        </w:rPr>
        <w:instrText>Lazard Freres v. Protextive Life Insurance Co.,</w:instrText>
      </w:r>
      <w:r w:rsidR="004960DE" w:rsidRPr="00C43543">
        <w:rPr>
          <w:i/>
          <w:iCs/>
          <w:szCs w:val="28"/>
          <w14:ligatures w14:val="standardContextual"/>
        </w:rPr>
        <w:br/>
      </w:r>
      <w:r w:rsidR="004960DE" w:rsidRPr="00C43543">
        <w:rPr>
          <w:szCs w:val="28"/>
          <w14:ligatures w14:val="standardContextual"/>
        </w:rPr>
        <w:instrText xml:space="preserve">108 F.3d 1531 (2d Cir. 1997)" \s "Lazard Freres, 108 F.3d 1531" \c 1 </w:instrText>
      </w:r>
      <w:r w:rsidR="004960DE" w:rsidRPr="00C43543">
        <w:rPr>
          <w:szCs w:val="28"/>
          <w14:ligatures w14:val="standardContextual"/>
        </w:rPr>
        <w:fldChar w:fldCharType="end"/>
      </w:r>
      <w:r w:rsidRPr="00C43543">
        <w:rPr>
          <w:szCs w:val="28"/>
          <w14:ligatures w14:val="standardContextual"/>
        </w:rPr>
        <w:t xml:space="preserve"> (emphasis added). That is because contractual choice-of-law rules provide that contract defenses challenging the “validity of a contract” are governed by the </w:t>
      </w:r>
      <w:r w:rsidR="00AB7BF3" w:rsidRPr="00C43543">
        <w:rPr>
          <w:szCs w:val="28"/>
          <w14:ligatures w14:val="standardContextual"/>
        </w:rPr>
        <w:t xml:space="preserve">law of the </w:t>
      </w:r>
      <w:r w:rsidRPr="00C43543">
        <w:rPr>
          <w:szCs w:val="28"/>
          <w14:ligatures w14:val="standardContextual"/>
        </w:rPr>
        <w:t xml:space="preserve">state of contract formation. </w:t>
      </w:r>
      <w:r w:rsidRPr="00C43543">
        <w:rPr>
          <w:i/>
          <w:iCs/>
          <w:szCs w:val="28"/>
          <w14:ligatures w14:val="standardContextual"/>
        </w:rPr>
        <w:t>Id.</w:t>
      </w:r>
      <w:r w:rsidRPr="00C43543">
        <w:rPr>
          <w:szCs w:val="28"/>
          <w14:ligatures w14:val="standardContextual"/>
        </w:rPr>
        <w:t xml:space="preserve"> at 1541.</w:t>
      </w:r>
      <w:r w:rsidR="004960DE" w:rsidRPr="00C43543">
        <w:rPr>
          <w:szCs w:val="28"/>
          <w14:ligatures w14:val="standardContextual"/>
        </w:rPr>
        <w:fldChar w:fldCharType="begin"/>
      </w:r>
      <w:r w:rsidR="004960DE" w:rsidRPr="00C43543">
        <w:rPr>
          <w:szCs w:val="28"/>
          <w14:ligatures w14:val="standardContextual"/>
        </w:rPr>
        <w:instrText xml:space="preserve"> TA \s "Lazard Freres, 108 F.3d 1531" </w:instrText>
      </w:r>
      <w:r w:rsidR="004960DE" w:rsidRPr="00C43543">
        <w:rPr>
          <w:szCs w:val="28"/>
          <w14:ligatures w14:val="standardContextual"/>
        </w:rPr>
        <w:fldChar w:fldCharType="end"/>
      </w:r>
      <w:r w:rsidRPr="00C43543">
        <w:rPr>
          <w:szCs w:val="28"/>
          <w14:ligatures w14:val="standardContextual"/>
        </w:rPr>
        <w:t xml:space="preserve"> But the court also recognized that the “issues arising out of a </w:t>
      </w:r>
      <w:r w:rsidRPr="00C43543">
        <w:rPr>
          <w:i/>
          <w:iCs/>
          <w:szCs w:val="28"/>
          <w14:ligatures w14:val="standardContextual"/>
        </w:rPr>
        <w:t>tort claim</w:t>
      </w:r>
      <w:r w:rsidRPr="00C43543">
        <w:rPr>
          <w:szCs w:val="28"/>
          <w14:ligatures w14:val="standardContextual"/>
        </w:rPr>
        <w:t xml:space="preserve">” need not “be resolved by reference to the law of the same jurisdiction” and warned that “conflation of the two tests is improper.” </w:t>
      </w:r>
      <w:r w:rsidRPr="00C43543">
        <w:rPr>
          <w:i/>
          <w:iCs/>
          <w:szCs w:val="28"/>
          <w14:ligatures w14:val="standardContextual"/>
        </w:rPr>
        <w:t>Id.</w:t>
      </w:r>
      <w:r w:rsidRPr="00C43543">
        <w:rPr>
          <w:szCs w:val="28"/>
          <w14:ligatures w14:val="standardContextual"/>
        </w:rPr>
        <w:t xml:space="preserve"> at </w:t>
      </w:r>
      <w:r w:rsidRPr="00C43543">
        <w:rPr>
          <w:rFonts w:eastAsiaTheme="minorHAnsi"/>
          <w:szCs w:val="28"/>
          <w14:ligatures w14:val="standardContextual"/>
        </w:rPr>
        <w:t>1539 n.5</w:t>
      </w:r>
      <w:r w:rsidRPr="00C43543">
        <w:rPr>
          <w:szCs w:val="28"/>
          <w14:ligatures w14:val="standardContextual"/>
        </w:rPr>
        <w:t>, 1540 (emphasis added)</w:t>
      </w:r>
      <w:r w:rsidR="004960DE" w:rsidRPr="00C43543">
        <w:rPr>
          <w:szCs w:val="28"/>
          <w14:ligatures w14:val="standardContextual"/>
        </w:rPr>
        <w:fldChar w:fldCharType="begin"/>
      </w:r>
      <w:r w:rsidR="004960DE" w:rsidRPr="00C43543">
        <w:rPr>
          <w:szCs w:val="28"/>
          <w14:ligatures w14:val="standardContextual"/>
        </w:rPr>
        <w:instrText xml:space="preserve"> TA \s "Lazard Freres, 108 F.3d 1531" </w:instrText>
      </w:r>
      <w:r w:rsidR="004960DE" w:rsidRPr="00C43543">
        <w:rPr>
          <w:szCs w:val="28"/>
          <w14:ligatures w14:val="standardContextual"/>
        </w:rPr>
        <w:fldChar w:fldCharType="end"/>
      </w:r>
      <w:r w:rsidRPr="00C43543">
        <w:rPr>
          <w:szCs w:val="28"/>
          <w14:ligatures w14:val="standardContextual"/>
        </w:rPr>
        <w:t>.</w:t>
      </w:r>
      <w:r w:rsidRPr="00C43543">
        <w:rPr>
          <w:rStyle w:val="FootnoteReference"/>
          <w:szCs w:val="28"/>
          <w14:ligatures w14:val="standardContextual"/>
        </w:rPr>
        <w:footnoteReference w:id="4"/>
      </w:r>
    </w:p>
    <w:p w14:paraId="765A1E66" w14:textId="4E8230AA" w:rsidR="00DF4DD8" w:rsidRPr="00C43543" w:rsidRDefault="00DF4DD8" w:rsidP="00DF4DD8">
      <w:pPr>
        <w:pStyle w:val="BodyText"/>
        <w:rPr>
          <w:szCs w:val="28"/>
          <w14:ligatures w14:val="standardContextual"/>
        </w:rPr>
      </w:pPr>
      <w:r w:rsidRPr="00C43543">
        <w:rPr>
          <w:szCs w:val="28"/>
          <w14:ligatures w14:val="standardContextual"/>
        </w:rPr>
        <w:t xml:space="preserve">Monsanto’s argument takes aim at the foundation of Washington’s choice-of-law rules. </w:t>
      </w:r>
      <w:r w:rsidRPr="00C43543">
        <w:rPr>
          <w:rFonts w:eastAsiaTheme="minorHAnsi"/>
          <w:szCs w:val="28"/>
          <w14:ligatures w14:val="standardContextual"/>
        </w:rPr>
        <w:t xml:space="preserve">“Under the principle of </w:t>
      </w:r>
      <w:proofErr w:type="spellStart"/>
      <w:r w:rsidRPr="00C43543">
        <w:rPr>
          <w:rFonts w:eastAsiaTheme="minorHAnsi"/>
          <w:szCs w:val="28"/>
          <w14:ligatures w14:val="standardContextual"/>
        </w:rPr>
        <w:t>depecage</w:t>
      </w:r>
      <w:proofErr w:type="spellEnd"/>
      <w:r w:rsidRPr="00C43543">
        <w:rPr>
          <w:rFonts w:eastAsiaTheme="minorHAnsi"/>
          <w:szCs w:val="28"/>
          <w14:ligatures w14:val="standardContextual"/>
        </w:rPr>
        <w:t xml:space="preserve">, </w:t>
      </w:r>
      <w:r w:rsidRPr="00C43543">
        <w:rPr>
          <w:rFonts w:eastAsiaTheme="minorHAnsi"/>
          <w:szCs w:val="28"/>
          <w14:ligatures w14:val="standardContextual"/>
        </w:rPr>
        <w:lastRenderedPageBreak/>
        <w:t xml:space="preserve">different issues in a single case </w:t>
      </w:r>
      <w:r w:rsidR="00311D21" w:rsidRPr="00C43543">
        <w:rPr>
          <w:szCs w:val="28"/>
          <w14:ligatures w14:val="standardContextual"/>
        </w:rPr>
        <w:t>. . .</w:t>
      </w:r>
      <w:r w:rsidRPr="00C43543">
        <w:rPr>
          <w:rFonts w:eastAsiaTheme="minorHAnsi"/>
          <w:szCs w:val="28"/>
          <w14:ligatures w14:val="standardContextual"/>
        </w:rPr>
        <w:t xml:space="preserve"> may be decided according to the substantive law of different states.”</w:t>
      </w:r>
      <w:r w:rsidRPr="00C43543">
        <w:rPr>
          <w:szCs w:val="28"/>
          <w14:ligatures w14:val="standardContextual"/>
        </w:rPr>
        <w:t xml:space="preserve"> </w:t>
      </w:r>
      <w:proofErr w:type="spellStart"/>
      <w:r w:rsidR="00F11D55" w:rsidRPr="00C43543">
        <w:rPr>
          <w:rFonts w:eastAsiaTheme="minorHAnsi"/>
          <w:i/>
          <w:iCs/>
          <w:szCs w:val="28"/>
          <w14:ligatures w14:val="standardContextual"/>
        </w:rPr>
        <w:t>Futureselect</w:t>
      </w:r>
      <w:proofErr w:type="spellEnd"/>
      <w:r w:rsidR="00F11D55" w:rsidRPr="00C43543">
        <w:rPr>
          <w:rFonts w:eastAsiaTheme="minorHAnsi"/>
          <w:i/>
          <w:iCs/>
          <w:szCs w:val="28"/>
          <w14:ligatures w14:val="standardContextual"/>
        </w:rPr>
        <w:t xml:space="preserve"> Portfolio Mgmt., Inc. v. Tremont Grp. Holdings, Inc.</w:t>
      </w:r>
      <w:r w:rsidR="00F11D55" w:rsidRPr="00C43543">
        <w:rPr>
          <w:rFonts w:eastAsiaTheme="minorHAnsi"/>
          <w:szCs w:val="28"/>
          <w14:ligatures w14:val="standardContextual"/>
        </w:rPr>
        <w:t xml:space="preserve">, 175 </w:t>
      </w:r>
      <w:proofErr w:type="spellStart"/>
      <w:r w:rsidR="00F11D55" w:rsidRPr="00C43543">
        <w:rPr>
          <w:rFonts w:eastAsiaTheme="minorHAnsi"/>
          <w:szCs w:val="28"/>
          <w14:ligatures w14:val="standardContextual"/>
        </w:rPr>
        <w:t>Wn</w:t>
      </w:r>
      <w:proofErr w:type="spellEnd"/>
      <w:r w:rsidR="00F11D55" w:rsidRPr="00C43543">
        <w:rPr>
          <w:rFonts w:eastAsiaTheme="minorHAnsi"/>
          <w:szCs w:val="28"/>
          <w14:ligatures w14:val="standardContextual"/>
        </w:rPr>
        <w:t>. App. 840, 856 n.15, 309 P.3d 555 (2013)</w:t>
      </w:r>
      <w:r w:rsidR="004960DE" w:rsidRPr="00C43543">
        <w:rPr>
          <w:rFonts w:eastAsiaTheme="minorHAnsi"/>
          <w:szCs w:val="28"/>
          <w14:ligatures w14:val="standardContextual"/>
        </w:rPr>
        <w:fldChar w:fldCharType="begin"/>
      </w:r>
      <w:r w:rsidR="004960DE" w:rsidRPr="00C43543">
        <w:rPr>
          <w:szCs w:val="28"/>
          <w14:ligatures w14:val="standardContextual"/>
        </w:rPr>
        <w:instrText xml:space="preserve"> TA \l "</w:instrText>
      </w:r>
      <w:r w:rsidR="004960DE" w:rsidRPr="00C43543">
        <w:rPr>
          <w:rFonts w:eastAsiaTheme="minorHAnsi"/>
          <w:i/>
          <w:iCs/>
          <w:szCs w:val="28"/>
          <w14:ligatures w14:val="standardContextual"/>
        </w:rPr>
        <w:instrText>Futureselect Portfolio Management, Inc. v. Tremont Group Holdings, Inc.</w:instrText>
      </w:r>
      <w:r w:rsidR="004960DE" w:rsidRPr="00C43543">
        <w:rPr>
          <w:rFonts w:eastAsiaTheme="minorHAnsi"/>
          <w:szCs w:val="28"/>
          <w14:ligatures w14:val="standardContextual"/>
        </w:rPr>
        <w:instrText>,</w:instrText>
      </w:r>
      <w:r w:rsidR="004960DE" w:rsidRPr="00C43543">
        <w:rPr>
          <w:rFonts w:eastAsiaTheme="minorHAnsi"/>
          <w:szCs w:val="28"/>
          <w14:ligatures w14:val="standardContextual"/>
        </w:rPr>
        <w:br/>
        <w:instrText>175 Wn. App. 840, 309 P.3d 555 (2013)</w:instrText>
      </w:r>
      <w:r w:rsidR="004960DE" w:rsidRPr="00C43543">
        <w:rPr>
          <w:szCs w:val="28"/>
          <w14:ligatures w14:val="standardContextual"/>
        </w:rPr>
        <w:instrText xml:space="preserve">" \s "Futureselect v. Tremont, 175 Wn. App. 840" \c 1 </w:instrText>
      </w:r>
      <w:r w:rsidR="004960DE" w:rsidRPr="00C43543">
        <w:rPr>
          <w:rFonts w:eastAsiaTheme="minorHAnsi"/>
          <w:szCs w:val="28"/>
          <w14:ligatures w14:val="standardContextual"/>
        </w:rPr>
        <w:fldChar w:fldCharType="end"/>
      </w:r>
      <w:r w:rsidRPr="00C43543">
        <w:rPr>
          <w:szCs w:val="28"/>
          <w14:ligatures w14:val="standardContextual"/>
        </w:rPr>
        <w:t xml:space="preserve">. Thus, when “a state court recognizes a claim arising from another state’s law,” that law “need not control every incident of the claim.” </w:t>
      </w:r>
      <w:r w:rsidRPr="00C43543">
        <w:rPr>
          <w:i/>
          <w:iCs/>
          <w:szCs w:val="28"/>
          <w14:ligatures w14:val="standardContextual"/>
        </w:rPr>
        <w:t xml:space="preserve">Liberty Synergistics Inc. v. </w:t>
      </w:r>
      <w:proofErr w:type="spellStart"/>
      <w:r w:rsidRPr="00C43543">
        <w:rPr>
          <w:i/>
          <w:iCs/>
          <w:szCs w:val="28"/>
          <w14:ligatures w14:val="standardContextual"/>
        </w:rPr>
        <w:t>Microflo</w:t>
      </w:r>
      <w:proofErr w:type="spellEnd"/>
      <w:r w:rsidRPr="00C43543">
        <w:rPr>
          <w:i/>
          <w:iCs/>
          <w:szCs w:val="28"/>
          <w14:ligatures w14:val="standardContextual"/>
        </w:rPr>
        <w:t xml:space="preserve"> Ltd.</w:t>
      </w:r>
      <w:r w:rsidRPr="00C43543">
        <w:rPr>
          <w:szCs w:val="28"/>
          <w14:ligatures w14:val="standardContextual"/>
        </w:rPr>
        <w:t xml:space="preserve">, 718 F.3d 138, </w:t>
      </w:r>
      <w:r w:rsidR="00F11D55" w:rsidRPr="00C43543">
        <w:rPr>
          <w:szCs w:val="28"/>
          <w14:ligatures w14:val="standardContextual"/>
        </w:rPr>
        <w:t xml:space="preserve">155 n.19 </w:t>
      </w:r>
      <w:r w:rsidRPr="00C43543">
        <w:rPr>
          <w:szCs w:val="28"/>
          <w14:ligatures w14:val="standardContextual"/>
        </w:rPr>
        <w:t>(2d Cir. 2013)</w:t>
      </w:r>
      <w:r w:rsidR="004960DE" w:rsidRPr="00C43543">
        <w:rPr>
          <w:szCs w:val="28"/>
          <w14:ligatures w14:val="standardContextual"/>
        </w:rPr>
        <w:fldChar w:fldCharType="begin"/>
      </w:r>
      <w:r w:rsidR="004960DE" w:rsidRPr="00C43543">
        <w:rPr>
          <w:szCs w:val="28"/>
          <w14:ligatures w14:val="standardContextual"/>
        </w:rPr>
        <w:instrText xml:space="preserve"> TA \l "</w:instrText>
      </w:r>
      <w:r w:rsidR="004960DE" w:rsidRPr="00C43543">
        <w:rPr>
          <w:i/>
          <w:iCs/>
          <w:szCs w:val="28"/>
          <w14:ligatures w14:val="standardContextual"/>
        </w:rPr>
        <w:instrText>Liberty Synergistics Inc. v. Microflo Ltd.</w:instrText>
      </w:r>
      <w:r w:rsidR="004960DE" w:rsidRPr="00C43543">
        <w:rPr>
          <w:szCs w:val="28"/>
          <w14:ligatures w14:val="standardContextual"/>
        </w:rPr>
        <w:instrText>,</w:instrText>
      </w:r>
      <w:r w:rsidR="004960DE" w:rsidRPr="00C43543">
        <w:rPr>
          <w:szCs w:val="28"/>
          <w14:ligatures w14:val="standardContextual"/>
        </w:rPr>
        <w:br/>
        <w:instrText xml:space="preserve">718 F.3d 138 (2d Cir. 2013)" \s "Liberty Synergistics, 718 F.3d 138" \c 1 </w:instrText>
      </w:r>
      <w:r w:rsidR="004960DE" w:rsidRPr="00C43543">
        <w:rPr>
          <w:szCs w:val="28"/>
          <w14:ligatures w14:val="standardContextual"/>
        </w:rPr>
        <w:fldChar w:fldCharType="end"/>
      </w:r>
      <w:r w:rsidRPr="00C43543">
        <w:rPr>
          <w:szCs w:val="28"/>
          <w14:ligatures w14:val="standardContextual"/>
        </w:rPr>
        <w:t>. The “forum state may qualify the rights and obligations to which the statutory cause of action gives birth.”</w:t>
      </w:r>
      <w:r w:rsidRPr="00C43543">
        <w:rPr>
          <w:i/>
          <w:iCs/>
          <w:szCs w:val="28"/>
          <w14:ligatures w14:val="standardContextual"/>
        </w:rPr>
        <w:t xml:space="preserve"> Id.</w:t>
      </w:r>
      <w:r w:rsidR="004960DE" w:rsidRPr="00C43543">
        <w:rPr>
          <w:i/>
          <w:iCs/>
          <w:szCs w:val="28"/>
          <w14:ligatures w14:val="standardContextual"/>
        </w:rPr>
        <w:fldChar w:fldCharType="begin"/>
      </w:r>
      <w:r w:rsidR="004960DE" w:rsidRPr="00C43543">
        <w:rPr>
          <w:szCs w:val="28"/>
          <w14:ligatures w14:val="standardContextual"/>
        </w:rPr>
        <w:instrText xml:space="preserve"> TA \s "Liberty Synergistics, 718 F.3d 138" </w:instrText>
      </w:r>
      <w:r w:rsidR="004960DE" w:rsidRPr="00C43543">
        <w:rPr>
          <w:i/>
          <w:iCs/>
          <w:szCs w:val="28"/>
          <w14:ligatures w14:val="standardContextual"/>
        </w:rPr>
        <w:fldChar w:fldCharType="end"/>
      </w:r>
      <w:r w:rsidRPr="00C43543">
        <w:rPr>
          <w:rStyle w:val="FootnoteReference"/>
          <w:szCs w:val="28"/>
          <w14:ligatures w14:val="standardContextual"/>
        </w:rPr>
        <w:footnoteReference w:id="5"/>
      </w:r>
    </w:p>
    <w:p w14:paraId="7A4D16AD" w14:textId="1332A059" w:rsidR="00DF4DD8" w:rsidRPr="00C43543" w:rsidRDefault="00DF4DD8" w:rsidP="00DF4DD8">
      <w:pPr>
        <w:pStyle w:val="BodyText"/>
        <w:rPr>
          <w:szCs w:val="28"/>
          <w14:ligatures w14:val="standardContextual"/>
        </w:rPr>
      </w:pPr>
      <w:r w:rsidRPr="00C43543">
        <w:rPr>
          <w:szCs w:val="28"/>
          <w14:ligatures w14:val="standardContextual"/>
        </w:rPr>
        <w:t>Courts choose the law governing “defenses to the plaintiff’s claim” in the same way they choose the law governing the claim itself—by determining which state has the “most significant relationship” to the issue. Restatement (Second) of Conflict of Laws § 161.</w:t>
      </w:r>
      <w:r w:rsidR="00CD646D" w:rsidRPr="00C43543">
        <w:rPr>
          <w:szCs w:val="28"/>
          <w14:ligatures w14:val="standardContextual"/>
        </w:rPr>
        <w:fldChar w:fldCharType="begin"/>
      </w:r>
      <w:r w:rsidR="00CD646D" w:rsidRPr="00C43543">
        <w:rPr>
          <w:szCs w:val="28"/>
          <w14:ligatures w14:val="standardContextual"/>
        </w:rPr>
        <w:instrText xml:space="preserve"> TA \l "Restatement (Second) of Conflict of Laws § 161" \s "Restatement (Second) of Conflict of Laws § 161." \c 3 </w:instrText>
      </w:r>
      <w:r w:rsidR="00CD646D" w:rsidRPr="00C43543">
        <w:rPr>
          <w:szCs w:val="28"/>
          <w14:ligatures w14:val="standardContextual"/>
        </w:rPr>
        <w:fldChar w:fldCharType="end"/>
      </w:r>
      <w:r w:rsidRPr="00C43543">
        <w:rPr>
          <w:szCs w:val="28"/>
          <w14:ligatures w14:val="standardContextual"/>
        </w:rPr>
        <w:t xml:space="preserve"> The Restatement provides specific rules for applying that test </w:t>
      </w:r>
      <w:r w:rsidRPr="00C43543">
        <w:rPr>
          <w:szCs w:val="28"/>
          <w14:ligatures w14:val="standardContextual"/>
        </w:rPr>
        <w:lastRenderedPageBreak/>
        <w:t xml:space="preserve">to a claim’s affirmative defenses—rules that would be meaningless if the law governing the claim always applied. </w:t>
      </w:r>
      <w:r w:rsidRPr="00C43543">
        <w:rPr>
          <w:i/>
          <w:iCs/>
          <w:szCs w:val="28"/>
          <w14:ligatures w14:val="standardContextual"/>
        </w:rPr>
        <w:t>Id.</w:t>
      </w:r>
      <w:r w:rsidRPr="00C43543">
        <w:rPr>
          <w:szCs w:val="28"/>
          <w14:ligatures w14:val="standardContextual"/>
        </w:rPr>
        <w:t xml:space="preserve"> §§ 162-170</w:t>
      </w:r>
      <w:r w:rsidR="00CD646D" w:rsidRPr="00C43543">
        <w:rPr>
          <w:szCs w:val="28"/>
          <w14:ligatures w14:val="standardContextual"/>
        </w:rPr>
        <w:fldChar w:fldCharType="begin"/>
      </w:r>
      <w:r w:rsidR="00CD646D" w:rsidRPr="00C43543">
        <w:rPr>
          <w:szCs w:val="28"/>
          <w14:ligatures w14:val="standardContextual"/>
        </w:rPr>
        <w:instrText xml:space="preserve"> TA \s "Restatement (Second) of Conflict of Laws § 161." </w:instrText>
      </w:r>
      <w:r w:rsidR="00CD646D" w:rsidRPr="00C43543">
        <w:rPr>
          <w:szCs w:val="28"/>
          <w14:ligatures w14:val="standardContextual"/>
        </w:rPr>
        <w:fldChar w:fldCharType="end"/>
      </w:r>
      <w:r w:rsidRPr="00C43543">
        <w:rPr>
          <w:szCs w:val="28"/>
          <w14:ligatures w14:val="standardContextual"/>
        </w:rPr>
        <w:t>.</w:t>
      </w:r>
    </w:p>
    <w:p w14:paraId="7A6BF324" w14:textId="23AA9A47" w:rsidR="00DF4DD8" w:rsidRPr="00C43543" w:rsidRDefault="00DF4DD8" w:rsidP="00DF4DD8">
      <w:pPr>
        <w:pStyle w:val="BodyText"/>
        <w:rPr>
          <w:szCs w:val="28"/>
          <w14:ligatures w14:val="standardContextual"/>
        </w:rPr>
      </w:pPr>
      <w:r w:rsidRPr="00C43543">
        <w:rPr>
          <w:szCs w:val="28"/>
          <w14:ligatures w14:val="standardContextual"/>
        </w:rPr>
        <w:t xml:space="preserve">A statute of repose, “which exempts the actor from liability for harmful conduct,” is thus “entitled to the same consideration in the choice-of-law process as is a rule which imposes liability.” </w:t>
      </w:r>
      <w:r w:rsidR="00F11D55" w:rsidRPr="00C43543">
        <w:rPr>
          <w:szCs w:val="28"/>
          <w14:ligatures w14:val="standardContextual"/>
        </w:rPr>
        <w:t>Restatement (Second) of Conflict of Laws</w:t>
      </w:r>
      <w:r w:rsidRPr="00C43543">
        <w:rPr>
          <w:szCs w:val="28"/>
          <w14:ligatures w14:val="standardContextual"/>
        </w:rPr>
        <w:t xml:space="preserve"> § 145</w:t>
      </w:r>
      <w:r w:rsidR="00CD646D" w:rsidRPr="00C43543">
        <w:rPr>
          <w:szCs w:val="28"/>
          <w14:ligatures w14:val="standardContextual"/>
        </w:rPr>
        <w:fldChar w:fldCharType="begin"/>
      </w:r>
      <w:r w:rsidR="00CD646D" w:rsidRPr="00C43543">
        <w:rPr>
          <w:szCs w:val="28"/>
          <w14:ligatures w14:val="standardContextual"/>
        </w:rPr>
        <w:instrText xml:space="preserve"> TA \s "Restatement (Second) of Conflict of Laws § 145" </w:instrText>
      </w:r>
      <w:r w:rsidR="00CD646D" w:rsidRPr="00C43543">
        <w:rPr>
          <w:szCs w:val="28"/>
          <w14:ligatures w14:val="standardContextual"/>
        </w:rPr>
        <w:fldChar w:fldCharType="end"/>
      </w:r>
      <w:r w:rsidRPr="00C43543">
        <w:rPr>
          <w:szCs w:val="28"/>
          <w14:ligatures w14:val="standardContextual"/>
        </w:rPr>
        <w:t xml:space="preserve">, </w:t>
      </w:r>
      <w:proofErr w:type="spellStart"/>
      <w:r w:rsidRPr="00C43543">
        <w:rPr>
          <w:szCs w:val="28"/>
          <w14:ligatures w14:val="standardContextual"/>
        </w:rPr>
        <w:t>cmt</w:t>
      </w:r>
      <w:proofErr w:type="spellEnd"/>
      <w:r w:rsidRPr="00C43543">
        <w:rPr>
          <w:szCs w:val="28"/>
          <w14:ligatures w14:val="standardContextual"/>
        </w:rPr>
        <w:t xml:space="preserve">. c; </w:t>
      </w:r>
      <w:r w:rsidRPr="00C43543">
        <w:rPr>
          <w:i/>
          <w:iCs/>
          <w:szCs w:val="28"/>
          <w14:ligatures w14:val="standardContextual"/>
        </w:rPr>
        <w:t>see id.</w:t>
      </w:r>
      <w:r w:rsidR="00CD646D" w:rsidRPr="00C43543">
        <w:rPr>
          <w:i/>
          <w:iCs/>
          <w:szCs w:val="28"/>
          <w14:ligatures w14:val="standardContextual"/>
        </w:rPr>
        <w:fldChar w:fldCharType="begin"/>
      </w:r>
      <w:r w:rsidR="00CD646D" w:rsidRPr="00C43543">
        <w:rPr>
          <w:szCs w:val="28"/>
          <w14:ligatures w14:val="standardContextual"/>
        </w:rPr>
        <w:instrText xml:space="preserve"> TA \s "Restatement (Second) of Conflict of Laws § 161." </w:instrText>
      </w:r>
      <w:r w:rsidR="00CD646D" w:rsidRPr="00C43543">
        <w:rPr>
          <w:i/>
          <w:iCs/>
          <w:szCs w:val="28"/>
          <w14:ligatures w14:val="standardContextual"/>
        </w:rPr>
        <w:fldChar w:fldCharType="end"/>
      </w:r>
      <w:r w:rsidRPr="00C43543">
        <w:rPr>
          <w:i/>
          <w:iCs/>
          <w:szCs w:val="28"/>
          <w14:ligatures w14:val="standardContextual"/>
        </w:rPr>
        <w:t xml:space="preserve"> </w:t>
      </w:r>
      <w:r w:rsidRPr="00C43543">
        <w:rPr>
          <w:szCs w:val="28"/>
          <w14:ligatures w14:val="standardContextual"/>
        </w:rPr>
        <w:t xml:space="preserve">(applying interest analysis to a statute designed to protect defendants from lawsuits). Under that test, courts must examine “the principles behind the statute of repose to determine which state’s interests [should] prevail.” </w:t>
      </w:r>
      <w:r w:rsidRPr="00C43543">
        <w:rPr>
          <w:i/>
          <w:iCs/>
          <w:szCs w:val="28"/>
          <w14:ligatures w14:val="standardContextual"/>
        </w:rPr>
        <w:t>Martin</w:t>
      </w:r>
      <w:r w:rsidRPr="00C43543">
        <w:rPr>
          <w:szCs w:val="28"/>
          <w14:ligatures w14:val="standardContextual"/>
        </w:rPr>
        <w:t xml:space="preserve">, 114 </w:t>
      </w:r>
      <w:proofErr w:type="spellStart"/>
      <w:r w:rsidRPr="00C43543">
        <w:rPr>
          <w:szCs w:val="28"/>
          <w14:ligatures w14:val="standardContextual"/>
        </w:rPr>
        <w:t>Wn</w:t>
      </w:r>
      <w:proofErr w:type="spellEnd"/>
      <w:r w:rsidRPr="00C43543">
        <w:rPr>
          <w:szCs w:val="28"/>
          <w14:ligatures w14:val="standardContextual"/>
        </w:rPr>
        <w:t>. App. at 832-33</w:t>
      </w:r>
      <w:r w:rsidR="00CD646D" w:rsidRPr="00C43543">
        <w:rPr>
          <w:szCs w:val="28"/>
          <w14:ligatures w14:val="standardContextual"/>
        </w:rPr>
        <w:fldChar w:fldCharType="begin"/>
      </w:r>
      <w:r w:rsidR="00CD646D" w:rsidRPr="00C43543">
        <w:rPr>
          <w:szCs w:val="28"/>
          <w14:ligatures w14:val="standardContextual"/>
        </w:rPr>
        <w:instrText xml:space="preserve"> TA \s "Martin v. Good Year, 114 Wn. App. 823" </w:instrText>
      </w:r>
      <w:r w:rsidR="00CD646D"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w:t>
      </w:r>
      <w:proofErr w:type="spellStart"/>
      <w:r w:rsidRPr="00C43543">
        <w:rPr>
          <w:i/>
          <w:iCs/>
          <w:szCs w:val="28"/>
          <w14:ligatures w14:val="standardContextual"/>
        </w:rPr>
        <w:t>Lillegraven</w:t>
      </w:r>
      <w:proofErr w:type="spellEnd"/>
      <w:r w:rsidRPr="00C43543">
        <w:rPr>
          <w:i/>
          <w:iCs/>
          <w:szCs w:val="28"/>
          <w14:ligatures w14:val="standardContextual"/>
        </w:rPr>
        <w:t xml:space="preserve"> v. </w:t>
      </w:r>
      <w:proofErr w:type="spellStart"/>
      <w:r w:rsidRPr="00C43543">
        <w:rPr>
          <w:i/>
          <w:iCs/>
          <w:szCs w:val="28"/>
          <w14:ligatures w14:val="standardContextual"/>
        </w:rPr>
        <w:t>Tengs</w:t>
      </w:r>
      <w:proofErr w:type="spellEnd"/>
      <w:r w:rsidRPr="00C43543">
        <w:rPr>
          <w:szCs w:val="28"/>
          <w14:ligatures w14:val="standardContextual"/>
        </w:rPr>
        <w:t>, 375 P.2d 139, 141 (Ala. 1962)</w:t>
      </w:r>
      <w:r w:rsidR="00CD646D" w:rsidRPr="00C43543">
        <w:rPr>
          <w:szCs w:val="28"/>
          <w14:ligatures w14:val="standardContextual"/>
        </w:rPr>
        <w:fldChar w:fldCharType="begin"/>
      </w:r>
      <w:r w:rsidR="00CD646D" w:rsidRPr="00C43543">
        <w:rPr>
          <w:szCs w:val="28"/>
          <w14:ligatures w14:val="standardContextual"/>
        </w:rPr>
        <w:instrText xml:space="preserve"> TA \l "</w:instrText>
      </w:r>
      <w:r w:rsidR="00CD646D" w:rsidRPr="00C43543">
        <w:rPr>
          <w:i/>
          <w:iCs/>
          <w:szCs w:val="28"/>
          <w14:ligatures w14:val="standardContextual"/>
        </w:rPr>
        <w:instrText>Lillegraven v. Tengs</w:instrText>
      </w:r>
      <w:r w:rsidR="00CD646D" w:rsidRPr="00C43543">
        <w:rPr>
          <w:szCs w:val="28"/>
          <w14:ligatures w14:val="standardContextual"/>
        </w:rPr>
        <w:instrText>,</w:instrText>
      </w:r>
      <w:r w:rsidR="00CD646D" w:rsidRPr="00C43543">
        <w:rPr>
          <w:szCs w:val="28"/>
          <w14:ligatures w14:val="standardContextual"/>
        </w:rPr>
        <w:br/>
        <w:instrText xml:space="preserve">375 P.2d 139 (Ala. 1962)" \s "Lillegraven v. Tengs, 375 P.2d 139" \c 1 </w:instrText>
      </w:r>
      <w:r w:rsidR="00CD646D" w:rsidRPr="00C43543">
        <w:rPr>
          <w:szCs w:val="28"/>
          <w14:ligatures w14:val="standardContextual"/>
        </w:rPr>
        <w:fldChar w:fldCharType="end"/>
      </w:r>
      <w:r w:rsidRPr="00C43543">
        <w:rPr>
          <w:szCs w:val="28"/>
          <w14:ligatures w14:val="standardContextual"/>
        </w:rPr>
        <w:t xml:space="preserve"> (the fact that “the time limitation and the right which plaintiff seeks to enforce are written in the same statute” is “not conclusive”).</w:t>
      </w:r>
    </w:p>
    <w:p w14:paraId="1A5B9581" w14:textId="61DF7CFA" w:rsidR="00DF4DD8" w:rsidRPr="00C43543" w:rsidRDefault="00DF4DD8" w:rsidP="00DF4DD8">
      <w:pPr>
        <w:pStyle w:val="BodyText"/>
        <w:rPr>
          <w:szCs w:val="28"/>
          <w14:ligatures w14:val="standardContextual"/>
        </w:rPr>
      </w:pPr>
      <w:r w:rsidRPr="00C43543">
        <w:rPr>
          <w:szCs w:val="28"/>
          <w14:ligatures w14:val="standardContextual"/>
        </w:rPr>
        <w:t xml:space="preserve">Washington courts have repeatedly applied that test to the state’s statute of repose, without regard to whether the statute’s liability provisions apply. </w:t>
      </w:r>
      <w:r w:rsidRPr="00C43543">
        <w:rPr>
          <w:i/>
          <w:iCs/>
          <w:szCs w:val="28"/>
          <w14:ligatures w14:val="standardContextual"/>
        </w:rPr>
        <w:t xml:space="preserve">See </w:t>
      </w:r>
      <w:r w:rsidR="00FE749B" w:rsidRPr="00C43543">
        <w:rPr>
          <w:i/>
          <w:iCs/>
          <w:szCs w:val="28"/>
          <w14:ligatures w14:val="standardContextual"/>
        </w:rPr>
        <w:t xml:space="preserve">Zenaida-Garcia, </w:t>
      </w:r>
      <w:r w:rsidR="00FE749B" w:rsidRPr="00C43543">
        <w:rPr>
          <w:szCs w:val="28"/>
          <w14:ligatures w14:val="standardContextual"/>
        </w:rPr>
        <w:t xml:space="preserve">128 </w:t>
      </w:r>
      <w:proofErr w:type="spellStart"/>
      <w:r w:rsidR="00FE749B" w:rsidRPr="00C43543">
        <w:rPr>
          <w:szCs w:val="28"/>
          <w14:ligatures w14:val="standardContextual"/>
        </w:rPr>
        <w:t>Wn</w:t>
      </w:r>
      <w:proofErr w:type="spellEnd"/>
      <w:r w:rsidR="00FE749B" w:rsidRPr="00C43543">
        <w:rPr>
          <w:szCs w:val="28"/>
          <w14:ligatures w14:val="standardContextual"/>
        </w:rPr>
        <w:t>. App. at 264</w:t>
      </w:r>
      <w:r w:rsidR="00CD646D" w:rsidRPr="00C43543">
        <w:rPr>
          <w:szCs w:val="28"/>
          <w14:ligatures w14:val="standardContextual"/>
        </w:rPr>
        <w:fldChar w:fldCharType="begin"/>
      </w:r>
      <w:r w:rsidR="00CD646D" w:rsidRPr="00C43543">
        <w:rPr>
          <w:szCs w:val="28"/>
          <w14:ligatures w14:val="standardContextual"/>
        </w:rPr>
        <w:instrText xml:space="preserve"> TA \s "Zenaida-Garcia, 128 Wn. App. 256" </w:instrText>
      </w:r>
      <w:r w:rsidR="00CD646D" w:rsidRPr="00C43543">
        <w:rPr>
          <w:szCs w:val="28"/>
          <w14:ligatures w14:val="standardContextual"/>
        </w:rPr>
        <w:fldChar w:fldCharType="end"/>
      </w:r>
      <w:r w:rsidR="00FE749B" w:rsidRPr="00C43543">
        <w:rPr>
          <w:szCs w:val="28"/>
          <w14:ligatures w14:val="standardContextual"/>
        </w:rPr>
        <w:t xml:space="preserve">; </w:t>
      </w:r>
      <w:r w:rsidR="00FE749B" w:rsidRPr="00C43543">
        <w:rPr>
          <w:i/>
          <w:iCs/>
          <w:szCs w:val="28"/>
          <w14:ligatures w14:val="standardContextual"/>
        </w:rPr>
        <w:t>Martin</w:t>
      </w:r>
      <w:r w:rsidR="00FE749B" w:rsidRPr="00C43543">
        <w:rPr>
          <w:szCs w:val="28"/>
          <w14:ligatures w14:val="standardContextual"/>
        </w:rPr>
        <w:t xml:space="preserve">, 114 </w:t>
      </w:r>
      <w:proofErr w:type="spellStart"/>
      <w:r w:rsidR="00FE749B" w:rsidRPr="00C43543">
        <w:rPr>
          <w:szCs w:val="28"/>
          <w14:ligatures w14:val="standardContextual"/>
        </w:rPr>
        <w:t>Wn</w:t>
      </w:r>
      <w:proofErr w:type="spellEnd"/>
      <w:r w:rsidR="00FE749B" w:rsidRPr="00C43543">
        <w:rPr>
          <w:szCs w:val="28"/>
          <w14:ligatures w14:val="standardContextual"/>
        </w:rPr>
        <w:t>. App. at 834-35</w:t>
      </w:r>
      <w:r w:rsidR="00CD646D" w:rsidRPr="00C43543">
        <w:rPr>
          <w:szCs w:val="28"/>
          <w14:ligatures w14:val="standardContextual"/>
        </w:rPr>
        <w:fldChar w:fldCharType="begin"/>
      </w:r>
      <w:r w:rsidR="00CD646D" w:rsidRPr="00C43543">
        <w:rPr>
          <w:szCs w:val="28"/>
          <w14:ligatures w14:val="standardContextual"/>
        </w:rPr>
        <w:instrText xml:space="preserve"> TA \s "Martin v. Good Year, 114 Wn. App. 823" </w:instrText>
      </w:r>
      <w:r w:rsidR="00CD646D" w:rsidRPr="00C43543">
        <w:rPr>
          <w:szCs w:val="28"/>
          <w14:ligatures w14:val="standardContextual"/>
        </w:rPr>
        <w:fldChar w:fldCharType="end"/>
      </w:r>
      <w:r w:rsidR="00FE749B" w:rsidRPr="00C43543">
        <w:rPr>
          <w:szCs w:val="28"/>
          <w14:ligatures w14:val="standardContextual"/>
        </w:rPr>
        <w:t xml:space="preserve">; </w:t>
      </w:r>
      <w:r w:rsidR="00FE749B" w:rsidRPr="00C43543">
        <w:rPr>
          <w:i/>
          <w:iCs/>
          <w:szCs w:val="28"/>
          <w14:ligatures w14:val="standardContextual"/>
        </w:rPr>
        <w:t>Rice v. Dow Chem. Co.</w:t>
      </w:r>
      <w:r w:rsidR="00FE749B" w:rsidRPr="00C43543">
        <w:rPr>
          <w:szCs w:val="28"/>
          <w14:ligatures w14:val="standardContextual"/>
        </w:rPr>
        <w:t>, 124 Wn.2d 205, 213, 875 P.2d 1213 (1994)</w:t>
      </w:r>
      <w:r w:rsidR="00CD646D" w:rsidRPr="00C43543">
        <w:rPr>
          <w:szCs w:val="28"/>
          <w14:ligatures w14:val="standardContextual"/>
        </w:rPr>
        <w:fldChar w:fldCharType="begin"/>
      </w:r>
      <w:r w:rsidR="00CD646D" w:rsidRPr="00C43543">
        <w:rPr>
          <w:szCs w:val="28"/>
          <w14:ligatures w14:val="standardContextual"/>
        </w:rPr>
        <w:instrText xml:space="preserve"> TA \l "</w:instrText>
      </w:r>
      <w:r w:rsidR="00CD646D" w:rsidRPr="00C43543">
        <w:rPr>
          <w:i/>
          <w:iCs/>
          <w:szCs w:val="28"/>
          <w14:ligatures w14:val="standardContextual"/>
        </w:rPr>
        <w:instrText>Rice v. Dow Chemical Co.</w:instrText>
      </w:r>
      <w:r w:rsidR="00CD646D" w:rsidRPr="00C43543">
        <w:rPr>
          <w:szCs w:val="28"/>
          <w14:ligatures w14:val="standardContextual"/>
        </w:rPr>
        <w:instrText>,</w:instrText>
      </w:r>
      <w:r w:rsidR="00CD646D" w:rsidRPr="00C43543">
        <w:rPr>
          <w:szCs w:val="28"/>
          <w14:ligatures w14:val="standardContextual"/>
        </w:rPr>
        <w:br/>
        <w:instrText xml:space="preserve">124 Wn. 2d 205, 875 P.2d 1213 (1994)" \s "Rice v. Dow Chem. Co., 124 Wn. 2d 205" \c 1 </w:instrText>
      </w:r>
      <w:r w:rsidR="00CD646D" w:rsidRPr="00C43543">
        <w:rPr>
          <w:szCs w:val="28"/>
          <w14:ligatures w14:val="standardContextual"/>
        </w:rPr>
        <w:fldChar w:fldCharType="end"/>
      </w:r>
      <w:r w:rsidR="00FE749B" w:rsidRPr="00C43543">
        <w:rPr>
          <w:szCs w:val="28"/>
          <w14:ligatures w14:val="standardContextual"/>
        </w:rPr>
        <w:t xml:space="preserve">; </w:t>
      </w:r>
      <w:r w:rsidR="00FE749B" w:rsidRPr="00C43543">
        <w:rPr>
          <w:i/>
          <w:iCs/>
          <w:szCs w:val="28"/>
          <w14:ligatures w14:val="standardContextual"/>
        </w:rPr>
        <w:t>see also, e.g.</w:t>
      </w:r>
      <w:r w:rsidR="00FE749B" w:rsidRPr="00C43543">
        <w:rPr>
          <w:szCs w:val="28"/>
          <w14:ligatures w14:val="standardContextual"/>
        </w:rPr>
        <w:t xml:space="preserve">, </w:t>
      </w:r>
      <w:proofErr w:type="spellStart"/>
      <w:r w:rsidR="00FE749B" w:rsidRPr="00C43543">
        <w:rPr>
          <w:i/>
          <w:szCs w:val="28"/>
          <w14:ligatures w14:val="standardContextual"/>
        </w:rPr>
        <w:t>Ehrenfelt</w:t>
      </w:r>
      <w:proofErr w:type="spellEnd"/>
      <w:r w:rsidR="00FE749B" w:rsidRPr="00C43543">
        <w:rPr>
          <w:i/>
          <w:szCs w:val="28"/>
          <w14:ligatures w14:val="standardContextual"/>
        </w:rPr>
        <w:t xml:space="preserve">, </w:t>
      </w:r>
      <w:r w:rsidR="00FE749B" w:rsidRPr="00C43543">
        <w:rPr>
          <w:szCs w:val="28"/>
          <w14:ligatures w14:val="standardContextual"/>
        </w:rPr>
        <w:t>2016 WL 7335922, at *7</w:t>
      </w:r>
      <w:r w:rsidR="00CA2BA8" w:rsidRPr="00C43543">
        <w:rPr>
          <w:szCs w:val="28"/>
          <w14:ligatures w14:val="standardContextual"/>
        </w:rPr>
        <w:t xml:space="preserve"> </w:t>
      </w:r>
      <w:r w:rsidR="00CD646D" w:rsidRPr="00C43543">
        <w:rPr>
          <w:szCs w:val="28"/>
          <w14:ligatures w14:val="standardContextual"/>
        </w:rPr>
        <w:fldChar w:fldCharType="begin"/>
      </w:r>
      <w:r w:rsidR="00CD646D" w:rsidRPr="00C43543">
        <w:rPr>
          <w:szCs w:val="28"/>
          <w14:ligatures w14:val="standardContextual"/>
        </w:rPr>
        <w:instrText xml:space="preserve"> TA \s "Ehrenfelt v. Janssen Pharms., Inc., No. 15-cv-2558, 2016 WL 7335922 at *7 (W.D. Tenn. June 23, 2016)" </w:instrText>
      </w:r>
      <w:r w:rsidR="00CD646D" w:rsidRPr="00C43543">
        <w:rPr>
          <w:szCs w:val="28"/>
          <w14:ligatures w14:val="standardContextual"/>
        </w:rPr>
        <w:fldChar w:fldCharType="end"/>
      </w:r>
      <w:r w:rsidRPr="00C43543">
        <w:rPr>
          <w:szCs w:val="28"/>
          <w14:ligatures w14:val="standardContextual"/>
        </w:rPr>
        <w:t>(applying the forum’s product</w:t>
      </w:r>
      <w:r w:rsidR="00191AF1">
        <w:rPr>
          <w:szCs w:val="28"/>
          <w14:ligatures w14:val="standardContextual"/>
        </w:rPr>
        <w:t>-</w:t>
      </w:r>
      <w:r w:rsidRPr="00C43543">
        <w:rPr>
          <w:szCs w:val="28"/>
          <w14:ligatures w14:val="standardContextual"/>
        </w:rPr>
        <w:t xml:space="preserve">liability statute to the cause of action and the defendant-affiliated state’s statute of repose </w:t>
      </w:r>
      <w:r w:rsidRPr="00C43543">
        <w:rPr>
          <w:szCs w:val="28"/>
          <w14:ligatures w14:val="standardContextual"/>
        </w:rPr>
        <w:lastRenderedPageBreak/>
        <w:t xml:space="preserve">to permit the plaintiff’s suit); </w:t>
      </w:r>
      <w:r w:rsidRPr="00C43543">
        <w:rPr>
          <w:i/>
          <w:iCs/>
          <w:szCs w:val="28"/>
          <w14:ligatures w14:val="standardContextual"/>
        </w:rPr>
        <w:t>Bruce v. Haworth, Inc.</w:t>
      </w:r>
      <w:r w:rsidRPr="00C43543">
        <w:rPr>
          <w:szCs w:val="28"/>
          <w14:ligatures w14:val="standardContextual"/>
        </w:rPr>
        <w:t>,</w:t>
      </w:r>
      <w:r w:rsidR="00DC7BF4" w:rsidRPr="00C43543">
        <w:rPr>
          <w:szCs w:val="28"/>
          <w14:ligatures w14:val="standardContextual"/>
        </w:rPr>
        <w:t xml:space="preserve"> </w:t>
      </w:r>
      <w:r w:rsidRPr="00C43543">
        <w:rPr>
          <w:szCs w:val="28"/>
          <w14:ligatures w14:val="standardContextual"/>
        </w:rPr>
        <w:t>2014 WL 834184, at *8 &amp; n.2 (W.D. Mich. Mar. 4, 2014)</w:t>
      </w:r>
      <w:r w:rsidR="00CD646D" w:rsidRPr="00C43543">
        <w:rPr>
          <w:szCs w:val="28"/>
          <w14:ligatures w14:val="standardContextual"/>
        </w:rPr>
        <w:fldChar w:fldCharType="begin"/>
      </w:r>
      <w:r w:rsidR="00CD646D" w:rsidRPr="00C43543">
        <w:rPr>
          <w:szCs w:val="28"/>
          <w14:ligatures w14:val="standardContextual"/>
        </w:rPr>
        <w:instrText xml:space="preserve"> TA \l "</w:instrText>
      </w:r>
      <w:r w:rsidR="00CD646D" w:rsidRPr="00C43543">
        <w:rPr>
          <w:i/>
          <w:iCs/>
          <w:szCs w:val="28"/>
          <w14:ligatures w14:val="standardContextual"/>
        </w:rPr>
        <w:instrText>Bruce v. Haworth, Inc.</w:instrText>
      </w:r>
      <w:r w:rsidR="00CD646D" w:rsidRPr="00C43543">
        <w:rPr>
          <w:szCs w:val="28"/>
          <w14:ligatures w14:val="standardContextual"/>
        </w:rPr>
        <w:instrText>,</w:instrText>
      </w:r>
      <w:r w:rsidR="00CD646D" w:rsidRPr="00C43543">
        <w:rPr>
          <w:szCs w:val="28"/>
          <w14:ligatures w14:val="standardContextual"/>
        </w:rPr>
        <w:br/>
        <w:instrText xml:space="preserve">2014 WL 834184 (W.D. Mich. Mar. 4, 2014)" \s "Bruce v. Haworth, 2014 WL 834184" \c 1 </w:instrText>
      </w:r>
      <w:r w:rsidR="00CD646D" w:rsidRPr="00C43543">
        <w:rPr>
          <w:szCs w:val="28"/>
          <w14:ligatures w14:val="standardContextual"/>
        </w:rPr>
        <w:fldChar w:fldCharType="end"/>
      </w:r>
      <w:r w:rsidRPr="00C43543">
        <w:rPr>
          <w:szCs w:val="28"/>
          <w14:ligatures w14:val="standardContextual"/>
        </w:rPr>
        <w:t xml:space="preserve"> (applying a repose period under state law other than that of the claim).</w:t>
      </w:r>
      <w:r w:rsidRPr="00C43543">
        <w:rPr>
          <w:rStyle w:val="FootnoteReference"/>
          <w:szCs w:val="28"/>
          <w14:ligatures w14:val="standardContextual"/>
        </w:rPr>
        <w:footnoteReference w:id="6"/>
      </w:r>
    </w:p>
    <w:p w14:paraId="46833F38" w14:textId="0F3B4179" w:rsidR="00DF4DD8" w:rsidRPr="00C43543" w:rsidRDefault="00DF4DD8" w:rsidP="00DF4DD8">
      <w:pPr>
        <w:pStyle w:val="BodyText"/>
        <w:rPr>
          <w:szCs w:val="28"/>
          <w14:ligatures w14:val="standardContextual"/>
        </w:rPr>
      </w:pPr>
      <w:r w:rsidRPr="00C43543">
        <w:rPr>
          <w:szCs w:val="28"/>
          <w14:ligatures w14:val="standardContextual"/>
        </w:rPr>
        <w:t xml:space="preserve">That conclusion is not changed by the fact that, as Monsanto argues (at 32), Washington’s statute of repose is a “substantive provision that prescribes the parties’ rights and duties.” That fact starts the debate; it does not resolve it. If Washington had a procedural statute of repose, there would be no need for a conflict-of-laws analysis; the procedural rules of the forum would always apply. </w:t>
      </w:r>
      <w:r w:rsidRPr="00C43543">
        <w:rPr>
          <w:i/>
          <w:iCs/>
          <w:szCs w:val="28"/>
          <w14:ligatures w14:val="standardContextual"/>
        </w:rPr>
        <w:t xml:space="preserve">See </w:t>
      </w:r>
      <w:r w:rsidRPr="00C43543">
        <w:rPr>
          <w:szCs w:val="28"/>
          <w14:ligatures w14:val="standardContextual"/>
        </w:rPr>
        <w:t xml:space="preserve">Restatement (Second) of Conflict of Laws § 145, </w:t>
      </w:r>
      <w:proofErr w:type="spellStart"/>
      <w:r w:rsidRPr="00C43543">
        <w:rPr>
          <w:szCs w:val="28"/>
          <w14:ligatures w14:val="standardContextual"/>
        </w:rPr>
        <w:t>cmt</w:t>
      </w:r>
      <w:proofErr w:type="spellEnd"/>
      <w:r w:rsidRPr="00C43543">
        <w:rPr>
          <w:szCs w:val="28"/>
          <w14:ligatures w14:val="standardContextual"/>
        </w:rPr>
        <w:t>. d</w:t>
      </w:r>
      <w:r w:rsidR="0065090F" w:rsidRPr="00C43543">
        <w:rPr>
          <w:szCs w:val="28"/>
          <w14:ligatures w14:val="standardContextual"/>
        </w:rPr>
        <w:fldChar w:fldCharType="begin"/>
      </w:r>
      <w:r w:rsidR="0065090F" w:rsidRPr="00C43543">
        <w:rPr>
          <w:szCs w:val="28"/>
          <w14:ligatures w14:val="standardContextual"/>
        </w:rPr>
        <w:instrText xml:space="preserve"> TA \s "Restatement (Second) of Conflict of Laws § 145" </w:instrText>
      </w:r>
      <w:r w:rsidR="0065090F" w:rsidRPr="00C43543">
        <w:rPr>
          <w:szCs w:val="28"/>
          <w14:ligatures w14:val="standardContextual"/>
        </w:rPr>
        <w:fldChar w:fldCharType="end"/>
      </w:r>
      <w:r w:rsidRPr="00C43543">
        <w:rPr>
          <w:szCs w:val="28"/>
          <w14:ligatures w14:val="standardContextual"/>
        </w:rPr>
        <w:t xml:space="preserve"> (a court always “applies its own state’s rules to issues involving process”</w:t>
      </w:r>
      <w:proofErr w:type="gramStart"/>
      <w:r w:rsidRPr="00C43543">
        <w:rPr>
          <w:szCs w:val="28"/>
          <w14:ligatures w14:val="standardContextual"/>
        </w:rPr>
        <w:t>);</w:t>
      </w:r>
      <w:proofErr w:type="gramEnd"/>
      <w:r w:rsidRPr="00C43543">
        <w:rPr>
          <w:szCs w:val="28"/>
          <w14:ligatures w14:val="standardContextual"/>
        </w:rPr>
        <w:t xml:space="preserve"> </w:t>
      </w:r>
      <w:r w:rsidRPr="00C43543">
        <w:rPr>
          <w:i/>
          <w:iCs/>
          <w:szCs w:val="28"/>
          <w14:ligatures w14:val="standardContextual"/>
        </w:rPr>
        <w:t>id.</w:t>
      </w:r>
      <w:r w:rsidRPr="00C43543">
        <w:rPr>
          <w:szCs w:val="28"/>
          <w14:ligatures w14:val="standardContextual"/>
        </w:rPr>
        <w:t xml:space="preserve"> § 142. Choice of law becomes relevant when “different </w:t>
      </w:r>
      <w:r w:rsidRPr="00C43543">
        <w:rPr>
          <w:i/>
          <w:iCs/>
          <w:szCs w:val="28"/>
          <w14:ligatures w14:val="standardContextual"/>
        </w:rPr>
        <w:t>substantive</w:t>
      </w:r>
      <w:r w:rsidRPr="00C43543">
        <w:rPr>
          <w:szCs w:val="28"/>
          <w14:ligatures w14:val="standardContextual"/>
        </w:rPr>
        <w:t xml:space="preserve"> issues in a tort case may be resolved under the law of different states.” </w:t>
      </w:r>
      <w:r w:rsidRPr="00C43543">
        <w:rPr>
          <w:i/>
          <w:iCs/>
          <w:szCs w:val="28"/>
          <w14:ligatures w14:val="standardContextual"/>
        </w:rPr>
        <w:t>La Plante v. Am. Honda Motor Co., Inc.</w:t>
      </w:r>
      <w:r w:rsidRPr="00C43543">
        <w:rPr>
          <w:szCs w:val="28"/>
          <w14:ligatures w14:val="standardContextual"/>
        </w:rPr>
        <w:t xml:space="preserve">, 27 F.3d </w:t>
      </w:r>
      <w:r w:rsidRPr="00C43543">
        <w:rPr>
          <w:szCs w:val="28"/>
          <w14:ligatures w14:val="standardContextual"/>
        </w:rPr>
        <w:lastRenderedPageBreak/>
        <w:t>731, 741 (1st Cir. 1994)</w:t>
      </w:r>
      <w:r w:rsidR="0065090F" w:rsidRPr="00C43543">
        <w:rPr>
          <w:szCs w:val="28"/>
          <w14:ligatures w14:val="standardContextual"/>
        </w:rPr>
        <w:fldChar w:fldCharType="begin"/>
      </w:r>
      <w:r w:rsidR="0065090F" w:rsidRPr="00C43543">
        <w:rPr>
          <w:szCs w:val="28"/>
          <w14:ligatures w14:val="standardContextual"/>
        </w:rPr>
        <w:instrText xml:space="preserve"> TA \l "</w:instrText>
      </w:r>
      <w:r w:rsidR="0065090F" w:rsidRPr="00C43543">
        <w:rPr>
          <w:i/>
          <w:iCs/>
          <w:szCs w:val="28"/>
          <w14:ligatures w14:val="standardContextual"/>
        </w:rPr>
        <w:instrText>La Plante v. American Honda Motor Co., Inc.</w:instrText>
      </w:r>
      <w:r w:rsidR="0065090F" w:rsidRPr="00C43543">
        <w:rPr>
          <w:szCs w:val="28"/>
          <w14:ligatures w14:val="standardContextual"/>
        </w:rPr>
        <w:instrText>,</w:instrText>
      </w:r>
      <w:r w:rsidR="0065090F" w:rsidRPr="00C43543">
        <w:rPr>
          <w:szCs w:val="28"/>
          <w14:ligatures w14:val="standardContextual"/>
        </w:rPr>
        <w:br/>
        <w:instrText xml:space="preserve">27 F.3d 731 (1st Cir. 1994)" \s "La Plante v. Honda Motor, 27 F.3d 731" \c 1 </w:instrText>
      </w:r>
      <w:r w:rsidR="0065090F" w:rsidRPr="00C43543">
        <w:rPr>
          <w:szCs w:val="28"/>
          <w14:ligatures w14:val="standardContextual"/>
        </w:rPr>
        <w:fldChar w:fldCharType="end"/>
      </w:r>
      <w:r w:rsidRPr="00C43543">
        <w:rPr>
          <w:szCs w:val="28"/>
          <w14:ligatures w14:val="standardContextual"/>
        </w:rPr>
        <w:t xml:space="preserve"> (emphasis added). It is only because</w:t>
      </w:r>
      <w:r w:rsidRPr="00C43543">
        <w:rPr>
          <w:i/>
          <w:iCs/>
          <w:szCs w:val="28"/>
          <w14:ligatures w14:val="standardContextual"/>
        </w:rPr>
        <w:t xml:space="preserve"> </w:t>
      </w:r>
      <w:r w:rsidRPr="00C43543">
        <w:rPr>
          <w:szCs w:val="28"/>
          <w14:ligatures w14:val="standardContextual"/>
        </w:rPr>
        <w:t xml:space="preserve">“statutes of repose can raise a conflict of substantive law” that a conflicts analysis is necessary </w:t>
      </w:r>
      <w:r w:rsidR="00741447" w:rsidRPr="00C43543">
        <w:rPr>
          <w:szCs w:val="28"/>
          <w14:ligatures w14:val="standardContextual"/>
        </w:rPr>
        <w:t>at all</w:t>
      </w:r>
      <w:r w:rsidRPr="00C43543">
        <w:rPr>
          <w:szCs w:val="28"/>
          <w14:ligatures w14:val="standardContextual"/>
        </w:rPr>
        <w:t xml:space="preserve">. </w:t>
      </w:r>
      <w:r w:rsidRPr="00C43543">
        <w:rPr>
          <w:i/>
          <w:iCs/>
          <w:szCs w:val="28"/>
          <w14:ligatures w14:val="standardContextual"/>
        </w:rPr>
        <w:t>Rice</w:t>
      </w:r>
      <w:r w:rsidRPr="00C43543">
        <w:rPr>
          <w:szCs w:val="28"/>
          <w14:ligatures w14:val="standardContextual"/>
        </w:rPr>
        <w:t>, 124 Wn.2d at 211.</w:t>
      </w:r>
      <w:r w:rsidR="0065090F" w:rsidRPr="00C43543">
        <w:rPr>
          <w:szCs w:val="28"/>
          <w14:ligatures w14:val="standardContextual"/>
        </w:rPr>
        <w:fldChar w:fldCharType="begin"/>
      </w:r>
      <w:r w:rsidR="0065090F" w:rsidRPr="00C43543">
        <w:rPr>
          <w:szCs w:val="28"/>
          <w14:ligatures w14:val="standardContextual"/>
        </w:rPr>
        <w:instrText xml:space="preserve"> TA \s "Rice v. Dow Chem. Co., 124 Wn. 2d 205" </w:instrText>
      </w:r>
      <w:r w:rsidR="0065090F" w:rsidRPr="00C43543">
        <w:rPr>
          <w:szCs w:val="28"/>
          <w14:ligatures w14:val="standardContextual"/>
        </w:rPr>
        <w:fldChar w:fldCharType="end"/>
      </w:r>
    </w:p>
    <w:p w14:paraId="341D1A84" w14:textId="55CA76BC" w:rsidR="00DF4DD8" w:rsidRPr="00C43543" w:rsidRDefault="00A107E5" w:rsidP="00DF4DD8">
      <w:pPr>
        <w:pStyle w:val="BodyText"/>
        <w:rPr>
          <w:szCs w:val="28"/>
          <w14:ligatures w14:val="standardContextual"/>
        </w:rPr>
      </w:pPr>
      <w:r w:rsidRPr="00C43543">
        <w:rPr>
          <w:b/>
          <w:bCs/>
          <w:i/>
          <w:iCs/>
          <w:szCs w:val="28"/>
          <w14:ligatures w14:val="standardContextual"/>
        </w:rPr>
        <w:t xml:space="preserve">3. </w:t>
      </w:r>
      <w:r w:rsidR="00186E1F" w:rsidRPr="00C43543">
        <w:rPr>
          <w:b/>
          <w:bCs/>
          <w:i/>
          <w:iCs/>
          <w:szCs w:val="28"/>
          <w14:ligatures w14:val="standardContextual"/>
        </w:rPr>
        <w:t>Relevance of s</w:t>
      </w:r>
      <w:r w:rsidR="00DE0850" w:rsidRPr="00C43543">
        <w:rPr>
          <w:b/>
          <w:bCs/>
          <w:i/>
          <w:iCs/>
          <w:szCs w:val="28"/>
          <w14:ligatures w14:val="standardContextual"/>
        </w:rPr>
        <w:t xml:space="preserve">tatutory context. </w:t>
      </w:r>
      <w:r w:rsidR="00DF4DD8" w:rsidRPr="00C43543">
        <w:rPr>
          <w:szCs w:val="28"/>
          <w14:ligatures w14:val="standardContextual"/>
        </w:rPr>
        <w:t xml:space="preserve">Nor does it matter that </w:t>
      </w:r>
      <w:r w:rsidR="00741447" w:rsidRPr="00C43543">
        <w:rPr>
          <w:szCs w:val="28"/>
          <w14:ligatures w14:val="standardContextual"/>
        </w:rPr>
        <w:t>Washington’s</w:t>
      </w:r>
      <w:r w:rsidR="00DF4DD8" w:rsidRPr="00C43543">
        <w:rPr>
          <w:szCs w:val="28"/>
          <w14:ligatures w14:val="standardContextual"/>
        </w:rPr>
        <w:t xml:space="preserve"> statute of repose is a statutory provision codified in the WPLA. “Choice of law rules apply equally to claims brought under common law and statutory law.” </w:t>
      </w:r>
      <w:r w:rsidR="00DF4DD8" w:rsidRPr="00C43543">
        <w:rPr>
          <w:i/>
          <w:iCs/>
          <w:szCs w:val="28"/>
          <w14:ligatures w14:val="standardContextual"/>
        </w:rPr>
        <w:t>Simon</w:t>
      </w:r>
      <w:r w:rsidR="00DF4DD8" w:rsidRPr="00C43543">
        <w:rPr>
          <w:szCs w:val="28"/>
          <w14:ligatures w14:val="standardContextual"/>
        </w:rPr>
        <w:t xml:space="preserve">, 124 F. Supp. 2d </w:t>
      </w:r>
      <w:r w:rsidR="0065090F" w:rsidRPr="00C43543">
        <w:rPr>
          <w:szCs w:val="28"/>
          <w14:ligatures w14:val="standardContextual"/>
        </w:rPr>
        <w:t>at</w:t>
      </w:r>
      <w:r w:rsidR="00DF4DD8" w:rsidRPr="00C43543">
        <w:rPr>
          <w:szCs w:val="28"/>
          <w14:ligatures w14:val="standardContextual"/>
        </w:rPr>
        <w:t xml:space="preserve"> 53-54</w:t>
      </w:r>
      <w:r w:rsidR="0065090F" w:rsidRPr="00C43543">
        <w:rPr>
          <w:szCs w:val="28"/>
          <w14:ligatures w14:val="standardContextual"/>
        </w:rPr>
        <w:fldChar w:fldCharType="begin"/>
      </w:r>
      <w:r w:rsidR="0065090F" w:rsidRPr="00C43543">
        <w:rPr>
          <w:szCs w:val="28"/>
          <w14:ligatures w14:val="standardContextual"/>
        </w:rPr>
        <w:instrText xml:space="preserve"> TA \s "Simon v. Philip Morris, 124 F. Supp. 2d 46" </w:instrText>
      </w:r>
      <w:r w:rsidR="0065090F" w:rsidRPr="00C43543">
        <w:rPr>
          <w:szCs w:val="28"/>
          <w14:ligatures w14:val="standardContextual"/>
        </w:rPr>
        <w:fldChar w:fldCharType="end"/>
      </w:r>
      <w:r w:rsidR="00DF4DD8" w:rsidRPr="00C43543">
        <w:rPr>
          <w:szCs w:val="28"/>
          <w14:ligatures w14:val="standardContextual"/>
        </w:rPr>
        <w:t xml:space="preserve">. As the U.S. Supreme Court has made clear, the “necessity” of choice of law “is not any the less [if] </w:t>
      </w:r>
      <w:r w:rsidR="00DC7BF4" w:rsidRPr="00C43543">
        <w:rPr>
          <w:szCs w:val="28"/>
          <w14:ligatures w14:val="standardContextual"/>
        </w:rPr>
        <w:t xml:space="preserve">. . . </w:t>
      </w:r>
      <w:r w:rsidR="00DF4DD8" w:rsidRPr="00C43543">
        <w:rPr>
          <w:szCs w:val="28"/>
          <w14:ligatures w14:val="standardContextual"/>
        </w:rPr>
        <w:t xml:space="preserve">the foreign statute is set up as a defense to a suit or </w:t>
      </w:r>
      <w:proofErr w:type="gramStart"/>
      <w:r w:rsidR="00DF4DD8" w:rsidRPr="00C43543">
        <w:rPr>
          <w:szCs w:val="28"/>
          <w14:ligatures w14:val="standardContextual"/>
        </w:rPr>
        <w:t>proceeding[</w:t>
      </w:r>
      <w:proofErr w:type="gramEnd"/>
      <w:r w:rsidR="00DF4DD8" w:rsidRPr="00C43543">
        <w:rPr>
          <w:szCs w:val="28"/>
          <w14:ligatures w14:val="standardContextual"/>
        </w:rPr>
        <w:t xml:space="preserve">] under the local statute.” </w:t>
      </w:r>
      <w:r w:rsidR="00DF4DD8" w:rsidRPr="00C43543">
        <w:rPr>
          <w:i/>
          <w:iCs/>
          <w:szCs w:val="28"/>
          <w14:ligatures w14:val="standardContextual"/>
        </w:rPr>
        <w:t xml:space="preserve">Alaska Packers </w:t>
      </w:r>
      <w:proofErr w:type="spellStart"/>
      <w:r w:rsidR="00DF4DD8" w:rsidRPr="00C43543">
        <w:rPr>
          <w:i/>
          <w:iCs/>
          <w:szCs w:val="28"/>
          <w14:ligatures w14:val="standardContextual"/>
        </w:rPr>
        <w:t>Ass’n</w:t>
      </w:r>
      <w:proofErr w:type="spellEnd"/>
      <w:r w:rsidR="00DF4DD8" w:rsidRPr="00C43543">
        <w:rPr>
          <w:i/>
          <w:iCs/>
          <w:szCs w:val="28"/>
          <w14:ligatures w14:val="standardContextual"/>
        </w:rPr>
        <w:t xml:space="preserve"> v. Indus. Accident Comm’n</w:t>
      </w:r>
      <w:r w:rsidR="00DF4DD8" w:rsidRPr="00C43543">
        <w:rPr>
          <w:szCs w:val="28"/>
          <w14:ligatures w14:val="standardContextual"/>
        </w:rPr>
        <w:t>, 294 U.S. 532, 547 (1935)</w:t>
      </w:r>
      <w:r w:rsidR="0065090F" w:rsidRPr="00C43543">
        <w:rPr>
          <w:szCs w:val="28"/>
          <w14:ligatures w14:val="standardContextual"/>
        </w:rPr>
        <w:fldChar w:fldCharType="begin"/>
      </w:r>
      <w:r w:rsidR="0065090F" w:rsidRPr="00C43543">
        <w:rPr>
          <w:szCs w:val="28"/>
          <w14:ligatures w14:val="standardContextual"/>
        </w:rPr>
        <w:instrText xml:space="preserve"> TA \l "</w:instrText>
      </w:r>
      <w:r w:rsidR="0065090F" w:rsidRPr="00C43543">
        <w:rPr>
          <w:i/>
          <w:iCs/>
          <w:szCs w:val="28"/>
          <w14:ligatures w14:val="standardContextual"/>
        </w:rPr>
        <w:instrText>Alaska Packers Association v. Industrial Accident Commission</w:instrText>
      </w:r>
      <w:r w:rsidR="0065090F" w:rsidRPr="00C43543">
        <w:rPr>
          <w:szCs w:val="28"/>
          <w14:ligatures w14:val="standardContextual"/>
        </w:rPr>
        <w:instrText>,</w:instrText>
      </w:r>
      <w:r w:rsidR="0065090F" w:rsidRPr="00C43543">
        <w:rPr>
          <w:szCs w:val="28"/>
          <w14:ligatures w14:val="standardContextual"/>
        </w:rPr>
        <w:br/>
        <w:instrText xml:space="preserve">294 U.S. 532 (1935)" \s "Alaska Packers, 294 U.S. 532" \c 1 </w:instrText>
      </w:r>
      <w:r w:rsidR="0065090F" w:rsidRPr="00C43543">
        <w:rPr>
          <w:szCs w:val="28"/>
          <w14:ligatures w14:val="standardContextual"/>
        </w:rPr>
        <w:fldChar w:fldCharType="end"/>
      </w:r>
      <w:r w:rsidR="00DF4DD8" w:rsidRPr="00C43543">
        <w:rPr>
          <w:szCs w:val="28"/>
          <w14:ligatures w14:val="standardContextual"/>
        </w:rPr>
        <w:t>.</w:t>
      </w:r>
    </w:p>
    <w:p w14:paraId="5B8F0541" w14:textId="567158D9" w:rsidR="00DF4DD8" w:rsidRPr="00C43543" w:rsidRDefault="00DF4DD8" w:rsidP="00DF4DD8">
      <w:pPr>
        <w:pStyle w:val="BodyText"/>
        <w:rPr>
          <w:szCs w:val="28"/>
          <w14:ligatures w14:val="standardContextual"/>
        </w:rPr>
      </w:pPr>
      <w:r w:rsidRPr="00C43543">
        <w:rPr>
          <w:szCs w:val="28"/>
          <w14:ligatures w14:val="standardContextual"/>
        </w:rPr>
        <w:t>On the contrary, “[</w:t>
      </w:r>
      <w:proofErr w:type="spellStart"/>
      <w:r w:rsidRPr="00C43543">
        <w:rPr>
          <w:szCs w:val="28"/>
          <w14:ligatures w14:val="standardContextual"/>
        </w:rPr>
        <w:t>i</w:t>
      </w:r>
      <w:proofErr w:type="spellEnd"/>
      <w:r w:rsidRPr="00C43543">
        <w:rPr>
          <w:szCs w:val="28"/>
          <w14:ligatures w14:val="standardContextual"/>
        </w:rPr>
        <w:t xml:space="preserve">]n the case of statutes </w:t>
      </w:r>
      <w:r w:rsidR="00DC7BF4" w:rsidRPr="00C43543">
        <w:rPr>
          <w:szCs w:val="28"/>
          <w14:ligatures w14:val="standardContextual"/>
        </w:rPr>
        <w:t xml:space="preserve">. . . </w:t>
      </w:r>
      <w:r w:rsidRPr="00C43543">
        <w:rPr>
          <w:szCs w:val="28"/>
          <w14:ligatures w14:val="standardContextual"/>
        </w:rPr>
        <w:t xml:space="preserve">where the policy of one state statute comes into conflict with that of another, the necessity of some accommodation of the conflicting interests of the two states is still more apparent.” </w:t>
      </w:r>
      <w:r w:rsidRPr="00C43543">
        <w:rPr>
          <w:i/>
          <w:iCs/>
          <w:szCs w:val="28"/>
          <w14:ligatures w14:val="standardContextual"/>
        </w:rPr>
        <w:t>Id.</w:t>
      </w:r>
      <w:r w:rsidR="0065090F" w:rsidRPr="00C43543">
        <w:rPr>
          <w:i/>
          <w:iCs/>
          <w:szCs w:val="28"/>
          <w14:ligatures w14:val="standardContextual"/>
        </w:rPr>
        <w:fldChar w:fldCharType="begin"/>
      </w:r>
      <w:r w:rsidR="0065090F" w:rsidRPr="00C43543">
        <w:rPr>
          <w:szCs w:val="28"/>
          <w14:ligatures w14:val="standardContextual"/>
        </w:rPr>
        <w:instrText xml:space="preserve"> TA \s "Alaska Packers, 294 U.S. 532" </w:instrText>
      </w:r>
      <w:r w:rsidR="0065090F" w:rsidRPr="00C43543">
        <w:rPr>
          <w:i/>
          <w:iCs/>
          <w:szCs w:val="28"/>
          <w14:ligatures w14:val="standardContextual"/>
        </w:rPr>
        <w:fldChar w:fldCharType="end"/>
      </w:r>
      <w:r w:rsidRPr="00C43543">
        <w:rPr>
          <w:szCs w:val="28"/>
          <w14:ligatures w14:val="standardContextual"/>
        </w:rPr>
        <w:t xml:space="preserve"> And just as with common-law rules, such statutory conflicts must be “resolved … by appraising the governmental interests of each </w:t>
      </w:r>
      <w:proofErr w:type="gramStart"/>
      <w:r w:rsidRPr="00C43543">
        <w:rPr>
          <w:szCs w:val="28"/>
          <w14:ligatures w14:val="standardContextual"/>
        </w:rPr>
        <w:t>jurisdiction, and</w:t>
      </w:r>
      <w:proofErr w:type="gramEnd"/>
      <w:r w:rsidRPr="00C43543">
        <w:rPr>
          <w:szCs w:val="28"/>
          <w14:ligatures w14:val="standardContextual"/>
        </w:rPr>
        <w:t xml:space="preserve"> turning the scale of decision according to their weight.” </w:t>
      </w:r>
      <w:r w:rsidRPr="00C43543">
        <w:rPr>
          <w:i/>
          <w:iCs/>
          <w:szCs w:val="28"/>
          <w14:ligatures w14:val="standardContextual"/>
        </w:rPr>
        <w:t>Id</w:t>
      </w:r>
      <w:r w:rsidRPr="00C43543">
        <w:rPr>
          <w:szCs w:val="28"/>
          <w14:ligatures w14:val="standardContextual"/>
        </w:rPr>
        <w:t>.</w:t>
      </w:r>
      <w:r w:rsidR="0065090F" w:rsidRPr="00C43543">
        <w:rPr>
          <w:szCs w:val="28"/>
          <w14:ligatures w14:val="standardContextual"/>
        </w:rPr>
        <w:fldChar w:fldCharType="begin"/>
      </w:r>
      <w:r w:rsidR="0065090F" w:rsidRPr="00C43543">
        <w:rPr>
          <w:szCs w:val="28"/>
          <w14:ligatures w14:val="standardContextual"/>
        </w:rPr>
        <w:instrText xml:space="preserve"> TA \s "Alaska Packers, 294 U.S. 532" </w:instrText>
      </w:r>
      <w:r w:rsidR="0065090F" w:rsidRPr="00C43543">
        <w:rPr>
          <w:szCs w:val="28"/>
          <w14:ligatures w14:val="standardContextual"/>
        </w:rPr>
        <w:fldChar w:fldCharType="end"/>
      </w:r>
      <w:r w:rsidRPr="00C43543">
        <w:rPr>
          <w:szCs w:val="28"/>
          <w14:ligatures w14:val="standardContextual"/>
        </w:rPr>
        <w:t xml:space="preserve"> Choice of law, in other words, is decided on an “issue by issue basis,” not a statute-</w:t>
      </w:r>
      <w:r w:rsidRPr="00C43543">
        <w:rPr>
          <w:szCs w:val="28"/>
          <w14:ligatures w14:val="standardContextual"/>
        </w:rPr>
        <w:lastRenderedPageBreak/>
        <w:t xml:space="preserve">by-statute one. </w:t>
      </w:r>
      <w:r w:rsidRPr="00C43543">
        <w:rPr>
          <w:i/>
          <w:iCs/>
          <w:szCs w:val="28"/>
          <w14:ligatures w14:val="standardContextual"/>
        </w:rPr>
        <w:t>Newmont USA Ltd</w:t>
      </w:r>
      <w:r w:rsidRPr="00C43543">
        <w:rPr>
          <w:szCs w:val="28"/>
          <w14:ligatures w14:val="standardContextual"/>
        </w:rPr>
        <w:t xml:space="preserve">. </w:t>
      </w:r>
      <w:r w:rsidRPr="00C43543">
        <w:rPr>
          <w:i/>
          <w:iCs/>
          <w:szCs w:val="28"/>
          <w14:ligatures w14:val="standardContextual"/>
        </w:rPr>
        <w:t>v</w:t>
      </w:r>
      <w:r w:rsidRPr="00C43543">
        <w:rPr>
          <w:szCs w:val="28"/>
          <w14:ligatures w14:val="standardContextual"/>
        </w:rPr>
        <w:t xml:space="preserve">. </w:t>
      </w:r>
      <w:r w:rsidRPr="00C43543">
        <w:rPr>
          <w:i/>
          <w:iCs/>
          <w:szCs w:val="28"/>
          <w14:ligatures w14:val="standardContextual"/>
        </w:rPr>
        <w:t>Am</w:t>
      </w:r>
      <w:r w:rsidRPr="00C43543">
        <w:rPr>
          <w:szCs w:val="28"/>
          <w14:ligatures w14:val="standardContextual"/>
        </w:rPr>
        <w:t xml:space="preserve">. </w:t>
      </w:r>
      <w:r w:rsidRPr="00C43543">
        <w:rPr>
          <w:i/>
          <w:iCs/>
          <w:szCs w:val="28"/>
          <w14:ligatures w14:val="standardContextual"/>
        </w:rPr>
        <w:t>Home Assurance</w:t>
      </w:r>
      <w:r w:rsidRPr="00C43543">
        <w:rPr>
          <w:szCs w:val="28"/>
          <w14:ligatures w14:val="standardContextual"/>
        </w:rPr>
        <w:t>, 676 F. Supp. 2d 1146, 1156 (E.D. Wash. 2009)</w:t>
      </w:r>
      <w:r w:rsidR="0065090F" w:rsidRPr="00C43543">
        <w:rPr>
          <w:szCs w:val="28"/>
          <w14:ligatures w14:val="standardContextual"/>
        </w:rPr>
        <w:fldChar w:fldCharType="begin"/>
      </w:r>
      <w:r w:rsidR="0065090F" w:rsidRPr="00C43543">
        <w:rPr>
          <w:szCs w:val="28"/>
          <w14:ligatures w14:val="standardContextual"/>
        </w:rPr>
        <w:instrText xml:space="preserve"> TA \l "</w:instrText>
      </w:r>
      <w:r w:rsidR="0065090F" w:rsidRPr="00C43543">
        <w:rPr>
          <w:i/>
          <w:iCs/>
          <w:szCs w:val="28"/>
          <w14:ligatures w14:val="standardContextual"/>
        </w:rPr>
        <w:instrText>Newmont USA Ltd</w:instrText>
      </w:r>
      <w:r w:rsidR="0065090F" w:rsidRPr="00C43543">
        <w:rPr>
          <w:szCs w:val="28"/>
          <w14:ligatures w14:val="standardContextual"/>
        </w:rPr>
        <w:instrText xml:space="preserve">. </w:instrText>
      </w:r>
      <w:r w:rsidR="0065090F" w:rsidRPr="00C43543">
        <w:rPr>
          <w:i/>
          <w:iCs/>
          <w:szCs w:val="28"/>
          <w14:ligatures w14:val="standardContextual"/>
        </w:rPr>
        <w:instrText>v</w:instrText>
      </w:r>
      <w:r w:rsidR="0065090F" w:rsidRPr="00C43543">
        <w:rPr>
          <w:szCs w:val="28"/>
          <w14:ligatures w14:val="standardContextual"/>
        </w:rPr>
        <w:instrText xml:space="preserve">. </w:instrText>
      </w:r>
      <w:r w:rsidR="0065090F" w:rsidRPr="00C43543">
        <w:rPr>
          <w:i/>
          <w:iCs/>
          <w:szCs w:val="28"/>
          <w14:ligatures w14:val="standardContextual"/>
        </w:rPr>
        <w:instrText>Am</w:instrText>
      </w:r>
      <w:r w:rsidR="0065090F" w:rsidRPr="00C43543">
        <w:rPr>
          <w:szCs w:val="28"/>
          <w14:ligatures w14:val="standardContextual"/>
        </w:rPr>
        <w:instrText xml:space="preserve">erican </w:instrText>
      </w:r>
      <w:r w:rsidR="0065090F" w:rsidRPr="00C43543">
        <w:rPr>
          <w:i/>
          <w:iCs/>
          <w:szCs w:val="28"/>
          <w14:ligatures w14:val="standardContextual"/>
        </w:rPr>
        <w:instrText>Home Assurance</w:instrText>
      </w:r>
      <w:r w:rsidR="0065090F" w:rsidRPr="00C43543">
        <w:rPr>
          <w:szCs w:val="28"/>
          <w14:ligatures w14:val="standardContextual"/>
        </w:rPr>
        <w:instrText>,</w:instrText>
      </w:r>
      <w:r w:rsidR="0065090F" w:rsidRPr="00C43543">
        <w:rPr>
          <w:szCs w:val="28"/>
          <w14:ligatures w14:val="standardContextual"/>
        </w:rPr>
        <w:br/>
        <w:instrText xml:space="preserve">676 F. Supp. 2d 1146 (E.D. Wash. 2009)" \s "Newmont, 676 F. Supp. 2d 1146" \c 1 </w:instrText>
      </w:r>
      <w:r w:rsidR="0065090F" w:rsidRPr="00C43543">
        <w:rPr>
          <w:szCs w:val="28"/>
          <w14:ligatures w14:val="standardContextual"/>
        </w:rPr>
        <w:fldChar w:fldCharType="end"/>
      </w:r>
      <w:r w:rsidRPr="00C43543">
        <w:rPr>
          <w:szCs w:val="28"/>
          <w14:ligatures w14:val="standardContextual"/>
        </w:rPr>
        <w:t>.</w:t>
      </w:r>
    </w:p>
    <w:p w14:paraId="0F08A54B" w14:textId="073E24F5" w:rsidR="00741447" w:rsidRPr="00C43543" w:rsidRDefault="00DF4DD8" w:rsidP="00741447">
      <w:pPr>
        <w:pStyle w:val="BodyText"/>
        <w:rPr>
          <w:szCs w:val="28"/>
          <w14:ligatures w14:val="standardContextual"/>
        </w:rPr>
      </w:pPr>
      <w:r w:rsidRPr="00C43543">
        <w:rPr>
          <w:szCs w:val="28"/>
          <w14:ligatures w14:val="standardContextual"/>
        </w:rPr>
        <w:t>Washington’s legislature could have chosen a different rule.</w:t>
      </w:r>
      <w:r w:rsidR="00741447" w:rsidRPr="00C43543">
        <w:rPr>
          <w:szCs w:val="28"/>
          <w14:ligatures w14:val="standardContextual"/>
        </w:rPr>
        <w:t xml:space="preserve"> It was free to override </w:t>
      </w:r>
      <w:r w:rsidR="00A107E5" w:rsidRPr="00C43543">
        <w:rPr>
          <w:szCs w:val="28"/>
          <w14:ligatures w14:val="standardContextual"/>
        </w:rPr>
        <w:t>established choice-of-law principles</w:t>
      </w:r>
      <w:r w:rsidR="00741447" w:rsidRPr="00C43543">
        <w:rPr>
          <w:szCs w:val="28"/>
          <w14:ligatures w14:val="standardContextual"/>
        </w:rPr>
        <w:t xml:space="preserve"> by statute, as other states have done with statutes of repose. </w:t>
      </w:r>
      <w:r w:rsidR="00741447" w:rsidRPr="00C43543">
        <w:rPr>
          <w:i/>
          <w:iCs/>
          <w:szCs w:val="28"/>
          <w14:ligatures w14:val="standardContextual"/>
        </w:rPr>
        <w:t xml:space="preserve">See </w:t>
      </w:r>
      <w:r w:rsidR="00741447" w:rsidRPr="00C43543">
        <w:rPr>
          <w:szCs w:val="28"/>
          <w14:ligatures w14:val="standardContextual"/>
        </w:rPr>
        <w:t>Or. Rev. Stat. § 30.905(2)(b)</w:t>
      </w:r>
      <w:r w:rsidR="0065090F" w:rsidRPr="00C43543">
        <w:rPr>
          <w:szCs w:val="28"/>
          <w14:ligatures w14:val="standardContextual"/>
        </w:rPr>
        <w:fldChar w:fldCharType="begin"/>
      </w:r>
      <w:r w:rsidR="0065090F" w:rsidRPr="00C43543">
        <w:rPr>
          <w:szCs w:val="28"/>
          <w14:ligatures w14:val="standardContextual"/>
        </w:rPr>
        <w:instrText xml:space="preserve"> TA \l "Oregon Revised Statute § 30.905" \s "Or. Rev. Stat. § 30.905" \c 2 </w:instrText>
      </w:r>
      <w:r w:rsidR="0065090F" w:rsidRPr="00C43543">
        <w:rPr>
          <w:szCs w:val="28"/>
          <w14:ligatures w14:val="standardContextual"/>
        </w:rPr>
        <w:fldChar w:fldCharType="end"/>
      </w:r>
      <w:r w:rsidR="00741447" w:rsidRPr="00C43543">
        <w:rPr>
          <w:szCs w:val="28"/>
          <w14:ligatures w14:val="standardContextual"/>
        </w:rPr>
        <w:t>; Neb. Rev. Stat. § 25-224</w:t>
      </w:r>
      <w:r w:rsidR="0065090F" w:rsidRPr="00C43543">
        <w:rPr>
          <w:szCs w:val="28"/>
          <w14:ligatures w14:val="standardContextual"/>
        </w:rPr>
        <w:fldChar w:fldCharType="begin"/>
      </w:r>
      <w:r w:rsidR="0065090F" w:rsidRPr="00C43543">
        <w:rPr>
          <w:szCs w:val="28"/>
          <w14:ligatures w14:val="standardContextual"/>
        </w:rPr>
        <w:instrText xml:space="preserve"> TA \l "Nebraska Revised Statute § 25-224" \s "Neb. Rev. Stat. § 25-224" \c 2 </w:instrText>
      </w:r>
      <w:r w:rsidR="0065090F" w:rsidRPr="00C43543">
        <w:rPr>
          <w:szCs w:val="28"/>
          <w14:ligatures w14:val="standardContextual"/>
        </w:rPr>
        <w:fldChar w:fldCharType="end"/>
      </w:r>
      <w:r w:rsidR="00741447" w:rsidRPr="00C43543">
        <w:rPr>
          <w:szCs w:val="28"/>
          <w14:ligatures w14:val="standardContextual"/>
        </w:rPr>
        <w:t>. But it didn’t. Instead, the legislature codified its intent to protect “retail businesses located primarily in the state of Washington.” RCW 7.72.010.</w:t>
      </w:r>
      <w:r w:rsidR="00E141D1" w:rsidRPr="00C43543">
        <w:rPr>
          <w:szCs w:val="28"/>
          <w14:ligatures w14:val="standardContextual"/>
        </w:rPr>
        <w:fldChar w:fldCharType="begin"/>
      </w:r>
      <w:r w:rsidR="00E141D1" w:rsidRPr="00C43543">
        <w:rPr>
          <w:szCs w:val="28"/>
          <w14:ligatures w14:val="standardContextual"/>
        </w:rPr>
        <w:instrText xml:space="preserve"> TA \s "RCW § 7.72.010" </w:instrText>
      </w:r>
      <w:r w:rsidR="00E141D1" w:rsidRPr="00C43543">
        <w:rPr>
          <w:szCs w:val="28"/>
          <w14:ligatures w14:val="standardContextual"/>
        </w:rPr>
        <w:fldChar w:fldCharType="end"/>
      </w:r>
    </w:p>
    <w:p w14:paraId="09414DF7" w14:textId="51D9A4A8" w:rsidR="001201E4" w:rsidRPr="00C43543" w:rsidRDefault="00DF4DD8" w:rsidP="00741447">
      <w:pPr>
        <w:pStyle w:val="BodyText"/>
        <w:rPr>
          <w:szCs w:val="28"/>
          <w14:ligatures w14:val="standardContextual"/>
        </w:rPr>
      </w:pPr>
      <w:r w:rsidRPr="00C43543">
        <w:rPr>
          <w:szCs w:val="28"/>
          <w14:ligatures w14:val="standardContextual"/>
        </w:rPr>
        <w:t xml:space="preserve">When it adopted the WPLA in 1981, </w:t>
      </w:r>
      <w:r w:rsidRPr="00C43543">
        <w:rPr>
          <w:i/>
          <w:iCs/>
          <w:szCs w:val="28"/>
          <w14:ligatures w14:val="standardContextual"/>
        </w:rPr>
        <w:t>Spider Staging</w:t>
      </w:r>
      <w:r w:rsidRPr="00C43543">
        <w:rPr>
          <w:szCs w:val="28"/>
          <w14:ligatures w14:val="standardContextual"/>
        </w:rPr>
        <w:t xml:space="preserve"> was already established as the law of the state. The “legislature is presumed to know” that rule. </w:t>
      </w:r>
      <w:r w:rsidR="00FE749B" w:rsidRPr="00C43543">
        <w:rPr>
          <w:i/>
          <w:iCs/>
          <w:szCs w:val="28"/>
          <w14:ligatures w14:val="standardContextual"/>
        </w:rPr>
        <w:t>Segura v. Cabrera</w:t>
      </w:r>
      <w:r w:rsidR="00FE749B" w:rsidRPr="00C43543">
        <w:rPr>
          <w:szCs w:val="28"/>
          <w14:ligatures w14:val="standardContextual"/>
        </w:rPr>
        <w:t xml:space="preserve">, 179 </w:t>
      </w:r>
      <w:proofErr w:type="spellStart"/>
      <w:r w:rsidR="004E0D08" w:rsidRPr="00C43543">
        <w:rPr>
          <w:szCs w:val="28"/>
          <w14:ligatures w14:val="standardContextual"/>
        </w:rPr>
        <w:t>Wn</w:t>
      </w:r>
      <w:proofErr w:type="spellEnd"/>
      <w:r w:rsidR="00FE749B" w:rsidRPr="00C43543">
        <w:rPr>
          <w:szCs w:val="28"/>
          <w14:ligatures w14:val="standardContextual"/>
        </w:rPr>
        <w:t>. App. 630, 650-51, 319 P.3d 98 (2014)</w:t>
      </w:r>
      <w:r w:rsidR="00E141D1" w:rsidRPr="00C43543">
        <w:rPr>
          <w:szCs w:val="28"/>
          <w14:ligatures w14:val="standardContextual"/>
        </w:rPr>
        <w:fldChar w:fldCharType="begin"/>
      </w:r>
      <w:r w:rsidR="00E141D1" w:rsidRPr="00C43543">
        <w:rPr>
          <w:szCs w:val="28"/>
          <w14:ligatures w14:val="standardContextual"/>
        </w:rPr>
        <w:instrText xml:space="preserve"> TA \l "</w:instrText>
      </w:r>
      <w:r w:rsidR="00E141D1" w:rsidRPr="00C43543">
        <w:rPr>
          <w:i/>
          <w:iCs/>
          <w:szCs w:val="28"/>
          <w14:ligatures w14:val="standardContextual"/>
        </w:rPr>
        <w:instrText>Segura v. Cabrera</w:instrText>
      </w:r>
      <w:r w:rsidR="00E141D1" w:rsidRPr="00C43543">
        <w:rPr>
          <w:szCs w:val="28"/>
          <w14:ligatures w14:val="standardContextual"/>
        </w:rPr>
        <w:instrText>,</w:instrText>
      </w:r>
      <w:r w:rsidR="00E141D1" w:rsidRPr="00C43543">
        <w:rPr>
          <w:szCs w:val="28"/>
          <w14:ligatures w14:val="standardContextual"/>
        </w:rPr>
        <w:br/>
        <w:instrText xml:space="preserve">179 Wash. App. 630, 319 P.3d 98 (2014)" \s "Segura v. Cabrera, 179 Wash. App. 630" \c 2 </w:instrText>
      </w:r>
      <w:r w:rsidR="00E141D1" w:rsidRPr="00C43543">
        <w:rPr>
          <w:szCs w:val="28"/>
          <w14:ligatures w14:val="standardContextual"/>
        </w:rPr>
        <w:fldChar w:fldCharType="end"/>
      </w:r>
      <w:r w:rsidRPr="00C43543">
        <w:rPr>
          <w:szCs w:val="28"/>
          <w14:ligatures w14:val="standardContextual"/>
        </w:rPr>
        <w:t xml:space="preserve">. </w:t>
      </w:r>
      <w:r w:rsidR="00741447" w:rsidRPr="00C43543">
        <w:rPr>
          <w:szCs w:val="28"/>
          <w14:ligatures w14:val="standardContextual"/>
        </w:rPr>
        <w:t>And, on questions of choice-of-law, the legislature is presumed to have chosen not to</w:t>
      </w:r>
      <w:r w:rsidR="001201E4" w:rsidRPr="00C43543">
        <w:rPr>
          <w:szCs w:val="28"/>
          <w14:ligatures w14:val="standardContextual"/>
        </w:rPr>
        <w:t xml:space="preserve"> supersede</w:t>
      </w:r>
      <w:r w:rsidR="00741447" w:rsidRPr="00C43543">
        <w:rPr>
          <w:szCs w:val="28"/>
          <w14:ligatures w14:val="standardContextual"/>
        </w:rPr>
        <w:t xml:space="preserve"> that rule</w:t>
      </w:r>
      <w:r w:rsidR="001201E4" w:rsidRPr="00C43543">
        <w:rPr>
          <w:szCs w:val="28"/>
          <w14:ligatures w14:val="standardContextual"/>
        </w:rPr>
        <w:t xml:space="preserve">: </w:t>
      </w:r>
      <w:r w:rsidR="00741447" w:rsidRPr="00C43543">
        <w:rPr>
          <w:szCs w:val="28"/>
          <w14:ligatures w14:val="standardContextual"/>
        </w:rPr>
        <w:t xml:space="preserve">“The normal presumption, which has been around for years, is that statutes are not intended to alter principles of conflict of laws.” Nelson, </w:t>
      </w:r>
      <w:r w:rsidR="00741447" w:rsidRPr="00C43543">
        <w:rPr>
          <w:i/>
          <w:iCs/>
          <w:szCs w:val="28"/>
          <w14:ligatures w14:val="standardContextual"/>
        </w:rPr>
        <w:t>State and Federal Models of the Interaction Between Statutes and Unwritten Law</w:t>
      </w:r>
      <w:r w:rsidR="00741447" w:rsidRPr="00C43543">
        <w:rPr>
          <w:szCs w:val="28"/>
          <w14:ligatures w14:val="standardContextual"/>
        </w:rPr>
        <w:t>, 80 U. Chi. L. Rev. 657, 667 (2013)</w:t>
      </w:r>
      <w:r w:rsidR="00E141D1" w:rsidRPr="00C43543">
        <w:rPr>
          <w:szCs w:val="28"/>
          <w14:ligatures w14:val="standardContextual"/>
        </w:rPr>
        <w:fldChar w:fldCharType="begin"/>
      </w:r>
      <w:r w:rsidR="00E141D1" w:rsidRPr="00C43543">
        <w:rPr>
          <w:szCs w:val="28"/>
          <w14:ligatures w14:val="standardContextual"/>
        </w:rPr>
        <w:instrText xml:space="preserve"> TA \l "Nelson, </w:instrText>
      </w:r>
      <w:r w:rsidR="00E141D1" w:rsidRPr="00C43543">
        <w:rPr>
          <w:i/>
          <w:iCs/>
          <w:szCs w:val="28"/>
          <w14:ligatures w14:val="standardContextual"/>
        </w:rPr>
        <w:instrText>State and Federal Models of the Interaction Between Statutes and Unwritten Law</w:instrText>
      </w:r>
      <w:r w:rsidR="00E141D1" w:rsidRPr="00C43543">
        <w:rPr>
          <w:szCs w:val="28"/>
          <w14:ligatures w14:val="standardContextual"/>
        </w:rPr>
        <w:instrText xml:space="preserve">, 80 U. Chi. L. Rev. 657, 667 (2013)" \s "Nelson, State and Federal Models of the Interaction Between Statutes and Unwritten Law, 80 U. Chi. L. Rev. 657, 667 (2013)" \c 3 </w:instrText>
      </w:r>
      <w:r w:rsidR="00E141D1" w:rsidRPr="00C43543">
        <w:rPr>
          <w:szCs w:val="28"/>
          <w14:ligatures w14:val="standardContextual"/>
        </w:rPr>
        <w:fldChar w:fldCharType="end"/>
      </w:r>
      <w:r w:rsidR="00741447" w:rsidRPr="00C43543">
        <w:rPr>
          <w:szCs w:val="28"/>
          <w14:ligatures w14:val="standardContextual"/>
        </w:rPr>
        <w:t xml:space="preserve"> (citing </w:t>
      </w:r>
      <w:r w:rsidR="00741447" w:rsidRPr="00C43543">
        <w:rPr>
          <w:i/>
          <w:iCs/>
          <w:szCs w:val="28"/>
          <w14:ligatures w14:val="standardContextual"/>
        </w:rPr>
        <w:t>Preserving the Inviolability of Rules of Conflict of Laws by Statutory Construction</w:t>
      </w:r>
      <w:r w:rsidR="00741447" w:rsidRPr="00C43543">
        <w:rPr>
          <w:szCs w:val="28"/>
          <w14:ligatures w14:val="standardContextual"/>
        </w:rPr>
        <w:t>, 49 Harv. L. Rev. 319 (1935)</w:t>
      </w:r>
      <w:r w:rsidR="00E141D1" w:rsidRPr="00C43543">
        <w:rPr>
          <w:szCs w:val="28"/>
          <w14:ligatures w14:val="standardContextual"/>
        </w:rPr>
        <w:fldChar w:fldCharType="begin"/>
      </w:r>
      <w:r w:rsidR="00E141D1" w:rsidRPr="00C43543">
        <w:rPr>
          <w:szCs w:val="28"/>
          <w14:ligatures w14:val="standardContextual"/>
        </w:rPr>
        <w:instrText xml:space="preserve"> TA \l "</w:instrText>
      </w:r>
      <w:r w:rsidR="00E141D1" w:rsidRPr="00C43543">
        <w:rPr>
          <w:i/>
          <w:iCs/>
          <w:szCs w:val="28"/>
          <w14:ligatures w14:val="standardContextual"/>
        </w:rPr>
        <w:instrText>Preserving the Inviolability of Rules of Conflict of Laws by Statutory Construction</w:instrText>
      </w:r>
      <w:r w:rsidR="00E141D1" w:rsidRPr="00C43543">
        <w:rPr>
          <w:szCs w:val="28"/>
          <w14:ligatures w14:val="standardContextual"/>
        </w:rPr>
        <w:instrText xml:space="preserve">, 49 Harv. L. Rev. 319 (1935)" \s "Preserving the Inviolability of Rules of Conflict of Laws by Statutory Construction, 49 Harv. L. Rev. 319 (1935)" \c 3 </w:instrText>
      </w:r>
      <w:r w:rsidR="00E141D1" w:rsidRPr="00C43543">
        <w:rPr>
          <w:szCs w:val="28"/>
          <w14:ligatures w14:val="standardContextual"/>
        </w:rPr>
        <w:fldChar w:fldCharType="end"/>
      </w:r>
      <w:r w:rsidR="00741447" w:rsidRPr="00C43543">
        <w:rPr>
          <w:szCs w:val="28"/>
          <w14:ligatures w14:val="standardContextual"/>
        </w:rPr>
        <w:t xml:space="preserve">). </w:t>
      </w:r>
    </w:p>
    <w:p w14:paraId="0B7BABD7" w14:textId="3AF94E65" w:rsidR="00741447" w:rsidRPr="00C43543" w:rsidRDefault="00741447" w:rsidP="00741447">
      <w:pPr>
        <w:pStyle w:val="BodyText"/>
        <w:rPr>
          <w:szCs w:val="28"/>
          <w14:ligatures w14:val="standardContextual"/>
        </w:rPr>
      </w:pPr>
      <w:r w:rsidRPr="00C43543">
        <w:rPr>
          <w:szCs w:val="28"/>
          <w14:ligatures w14:val="standardContextual"/>
        </w:rPr>
        <w:lastRenderedPageBreak/>
        <w:t xml:space="preserve">Courts hold that this presumption is overcome “only where we can clearly determine that the Legislature” intended to “supersede choice of law principles.” </w:t>
      </w:r>
      <w:r w:rsidRPr="00C43543">
        <w:rPr>
          <w:i/>
          <w:iCs/>
          <w:szCs w:val="28"/>
          <w14:ligatures w14:val="standardContextual"/>
        </w:rPr>
        <w:t>State Farm Mut. Auto. Ins. Co. v. ANC Rental Corp</w:t>
      </w:r>
      <w:r w:rsidRPr="00C43543">
        <w:rPr>
          <w:szCs w:val="28"/>
          <w14:ligatures w14:val="standardContextual"/>
        </w:rPr>
        <w:t>., 2008 WL 4149006, at *2 (Ariz. Ct. App. Apr. 3, 2008)</w:t>
      </w:r>
      <w:r w:rsidR="00E141D1" w:rsidRPr="00C43543">
        <w:rPr>
          <w:szCs w:val="28"/>
          <w14:ligatures w14:val="standardContextual"/>
        </w:rPr>
        <w:fldChar w:fldCharType="begin"/>
      </w:r>
      <w:r w:rsidR="00E141D1" w:rsidRPr="00C43543">
        <w:rPr>
          <w:szCs w:val="28"/>
          <w14:ligatures w14:val="standardContextual"/>
        </w:rPr>
        <w:instrText xml:space="preserve"> TA \l "</w:instrText>
      </w:r>
      <w:r w:rsidR="00E141D1" w:rsidRPr="00C43543">
        <w:rPr>
          <w:i/>
          <w:iCs/>
          <w:szCs w:val="28"/>
          <w14:ligatures w14:val="standardContextual"/>
        </w:rPr>
        <w:instrText>State Farm Mutual Auto. Insurance Co. v. ANC Rental Corp</w:instrText>
      </w:r>
      <w:r w:rsidR="00E141D1" w:rsidRPr="00C43543">
        <w:rPr>
          <w:szCs w:val="28"/>
          <w14:ligatures w14:val="standardContextual"/>
        </w:rPr>
        <w:instrText>.,</w:instrText>
      </w:r>
      <w:r w:rsidR="00E141D1" w:rsidRPr="00C43543">
        <w:rPr>
          <w:szCs w:val="28"/>
          <w14:ligatures w14:val="standardContextual"/>
        </w:rPr>
        <w:br/>
        <w:instrText xml:space="preserve">2008 WL 4149006 (Ariz. Ct. App. Apr. 3, 2008)" \s "State Farm v. ANC, 2008 WL 4149006" \c 1 </w:instrText>
      </w:r>
      <w:r w:rsidR="00E141D1" w:rsidRPr="00C43543">
        <w:rPr>
          <w:szCs w:val="28"/>
          <w14:ligatures w14:val="standardContextual"/>
        </w:rPr>
        <w:fldChar w:fldCharType="end"/>
      </w:r>
      <w:r w:rsidR="00A107E5" w:rsidRPr="00C43543">
        <w:rPr>
          <w:szCs w:val="28"/>
          <w14:ligatures w14:val="standardContextual"/>
        </w:rPr>
        <w:t xml:space="preserve">; </w:t>
      </w:r>
      <w:r w:rsidR="00A107E5" w:rsidRPr="00C43543">
        <w:rPr>
          <w:i/>
          <w:iCs/>
          <w:szCs w:val="28"/>
          <w14:ligatures w14:val="standardContextual"/>
        </w:rPr>
        <w:t xml:space="preserve">see also </w:t>
      </w:r>
      <w:proofErr w:type="spellStart"/>
      <w:r w:rsidR="00A107E5" w:rsidRPr="00C43543">
        <w:rPr>
          <w:i/>
          <w:iCs/>
          <w:szCs w:val="28"/>
          <w14:ligatures w14:val="standardContextual"/>
        </w:rPr>
        <w:t>Calabotta</w:t>
      </w:r>
      <w:proofErr w:type="spellEnd"/>
      <w:r w:rsidR="00A107E5" w:rsidRPr="00C43543">
        <w:rPr>
          <w:i/>
          <w:iCs/>
          <w:szCs w:val="28"/>
          <w14:ligatures w14:val="standardContextual"/>
        </w:rPr>
        <w:t xml:space="preserve"> v. </w:t>
      </w:r>
      <w:proofErr w:type="spellStart"/>
      <w:r w:rsidR="00A107E5" w:rsidRPr="00C43543">
        <w:rPr>
          <w:i/>
          <w:iCs/>
          <w:szCs w:val="28"/>
          <w14:ligatures w14:val="standardContextual"/>
        </w:rPr>
        <w:t>Phibro</w:t>
      </w:r>
      <w:proofErr w:type="spellEnd"/>
      <w:r w:rsidR="00A107E5" w:rsidRPr="00C43543">
        <w:rPr>
          <w:i/>
          <w:iCs/>
          <w:szCs w:val="28"/>
          <w14:ligatures w14:val="standardContextual"/>
        </w:rPr>
        <w:t xml:space="preserve"> Animal Health Corp.</w:t>
      </w:r>
      <w:r w:rsidR="00A107E5" w:rsidRPr="00C43543">
        <w:rPr>
          <w:szCs w:val="28"/>
          <w14:ligatures w14:val="standardContextual"/>
        </w:rPr>
        <w:t>, 460 N.J. Super. 38, 66 (App. Div. 2019) (refusing to construe statute to “bulldoze” over choice-of-law principles because “the Legislature has shown that when it wishes to issue a ‘statutory directive’ on choice-of-law, it knows how to do it”)</w:t>
      </w:r>
      <w:r w:rsidR="00A107E5" w:rsidRPr="00C43543">
        <w:rPr>
          <w:szCs w:val="28"/>
          <w14:ligatures w14:val="standardContextual"/>
        </w:rPr>
        <w:fldChar w:fldCharType="begin"/>
      </w:r>
      <w:r w:rsidR="00A107E5" w:rsidRPr="00C43543">
        <w:rPr>
          <w:szCs w:val="28"/>
          <w14:ligatures w14:val="standardContextual"/>
        </w:rPr>
        <w:instrText xml:space="preserve"> TA \l "State Farm Mutual Auto. Insurance Co. v. ANC Rental Corp.,</w:instrText>
      </w:r>
      <w:r w:rsidR="00A107E5" w:rsidRPr="00C43543">
        <w:rPr>
          <w:szCs w:val="28"/>
          <w14:ligatures w14:val="standardContextual"/>
        </w:rPr>
        <w:br/>
        <w:instrText xml:space="preserve">2008 WL 4149006 (Ariz. Ct. App. Apr. 3, 2008)" \s "State Farm v. ANC, 2008 WL 4149006" \c 1 </w:instrText>
      </w:r>
      <w:r w:rsidR="00A107E5" w:rsidRPr="00C43543">
        <w:rPr>
          <w:szCs w:val="28"/>
          <w14:ligatures w14:val="standardContextual"/>
        </w:rPr>
        <w:fldChar w:fldCharType="end"/>
      </w:r>
      <w:r w:rsidR="00A107E5" w:rsidRPr="00C43543">
        <w:rPr>
          <w:szCs w:val="28"/>
          <w14:ligatures w14:val="standardContextual"/>
        </w:rPr>
        <w:t>. This reflects the general rule that “[s]</w:t>
      </w:r>
      <w:proofErr w:type="spellStart"/>
      <w:r w:rsidR="00A107E5" w:rsidRPr="00C43543">
        <w:rPr>
          <w:szCs w:val="28"/>
          <w14:ligatures w14:val="standardContextual"/>
        </w:rPr>
        <w:t>tatutes</w:t>
      </w:r>
      <w:proofErr w:type="spellEnd"/>
      <w:r w:rsidR="00A107E5" w:rsidRPr="00C43543">
        <w:rPr>
          <w:szCs w:val="28"/>
          <w14:ligatures w14:val="standardContextual"/>
        </w:rPr>
        <w:t xml:space="preserve"> will not be interpreted as changing the common law unless they effect the change with clarity.” Scalia &amp; Garner, </w:t>
      </w:r>
      <w:r w:rsidR="00A107E5" w:rsidRPr="00C43543">
        <w:rPr>
          <w:i/>
          <w:iCs/>
          <w:szCs w:val="28"/>
          <w14:ligatures w14:val="standardContextual"/>
        </w:rPr>
        <w:t>Reading Law: The Interpretation of Legal Texts</w:t>
      </w:r>
      <w:r w:rsidR="00A107E5" w:rsidRPr="00C43543">
        <w:rPr>
          <w:szCs w:val="28"/>
          <w14:ligatures w14:val="standardContextual"/>
        </w:rPr>
        <w:t xml:space="preserve"> 318 (2011).</w:t>
      </w:r>
    </w:p>
    <w:p w14:paraId="04E0B77A" w14:textId="775581B6" w:rsidR="00DF4DD8" w:rsidRPr="00C43543" w:rsidRDefault="00A107E5" w:rsidP="00165808">
      <w:pPr>
        <w:pStyle w:val="BodyText"/>
        <w:rPr>
          <w:szCs w:val="28"/>
          <w14:ligatures w14:val="standardContextual"/>
        </w:rPr>
      </w:pPr>
      <w:r w:rsidRPr="00C43543">
        <w:rPr>
          <w:szCs w:val="28"/>
          <w14:ligatures w14:val="standardContextual"/>
        </w:rPr>
        <w:t xml:space="preserve">And here, the legislature didn’t merely refrain from clearly overriding </w:t>
      </w:r>
      <w:r w:rsidR="001201E4" w:rsidRPr="00C43543">
        <w:rPr>
          <w:szCs w:val="28"/>
          <w14:ligatures w14:val="standardContextual"/>
        </w:rPr>
        <w:t>Washington’s</w:t>
      </w:r>
      <w:r w:rsidRPr="00C43543">
        <w:rPr>
          <w:szCs w:val="28"/>
          <w14:ligatures w14:val="standardContextual"/>
        </w:rPr>
        <w:t xml:space="preserve"> common law</w:t>
      </w:r>
      <w:r w:rsidR="001201E4" w:rsidRPr="00C43543">
        <w:rPr>
          <w:szCs w:val="28"/>
          <w14:ligatures w14:val="standardContextual"/>
        </w:rPr>
        <w:t xml:space="preserve"> on the choice of law in products cases</w:t>
      </w:r>
      <w:r w:rsidRPr="00C43543">
        <w:rPr>
          <w:szCs w:val="28"/>
          <w14:ligatures w14:val="standardContextual"/>
        </w:rPr>
        <w:t>. It expressly preserved it. The WPLA provides</w:t>
      </w:r>
      <w:r w:rsidR="00DF4DD8" w:rsidRPr="00C43543">
        <w:rPr>
          <w:szCs w:val="28"/>
          <w14:ligatures w14:val="standardContextual"/>
        </w:rPr>
        <w:t xml:space="preserve"> that “[t]he previous existing applicable law of this state on product liability is modified only to the extent set forth in this chapter.” RCW 7.72.020(1)</w:t>
      </w:r>
      <w:r w:rsidR="00E141D1" w:rsidRPr="00C43543">
        <w:rPr>
          <w:szCs w:val="28"/>
          <w14:ligatures w14:val="standardContextual"/>
        </w:rPr>
        <w:fldChar w:fldCharType="begin"/>
      </w:r>
      <w:r w:rsidR="00E141D1" w:rsidRPr="00C43543">
        <w:rPr>
          <w:szCs w:val="28"/>
          <w14:ligatures w14:val="standardContextual"/>
        </w:rPr>
        <w:instrText xml:space="preserve"> TA \s "RCW § 7.72.010" </w:instrText>
      </w:r>
      <w:r w:rsidR="00E141D1" w:rsidRPr="00C43543">
        <w:rPr>
          <w:szCs w:val="28"/>
          <w14:ligatures w14:val="standardContextual"/>
        </w:rPr>
        <w:fldChar w:fldCharType="end"/>
      </w:r>
      <w:r w:rsidR="00DF4DD8" w:rsidRPr="00C43543">
        <w:rPr>
          <w:szCs w:val="28"/>
          <w14:ligatures w14:val="standardContextual"/>
        </w:rPr>
        <w:t xml:space="preserve">. </w:t>
      </w:r>
      <w:r w:rsidRPr="00C43543">
        <w:rPr>
          <w:szCs w:val="28"/>
          <w14:ligatures w14:val="standardContextual"/>
        </w:rPr>
        <w:t>Th</w:t>
      </w:r>
      <w:r w:rsidR="001201E4" w:rsidRPr="00C43543">
        <w:rPr>
          <w:szCs w:val="28"/>
          <w14:ligatures w14:val="standardContextual"/>
        </w:rPr>
        <w:t>at</w:t>
      </w:r>
      <w:r w:rsidRPr="00C43543">
        <w:rPr>
          <w:szCs w:val="28"/>
          <w14:ligatures w14:val="standardContextual"/>
        </w:rPr>
        <w:t xml:space="preserve"> “existing applicable law” includes</w:t>
      </w:r>
      <w:r w:rsidR="00165808" w:rsidRPr="00C43543">
        <w:rPr>
          <w:szCs w:val="28"/>
          <w14:ligatures w14:val="standardContextual"/>
        </w:rPr>
        <w:t xml:space="preserve"> </w:t>
      </w:r>
      <w:r w:rsidR="00165808" w:rsidRPr="00C43543">
        <w:rPr>
          <w:i/>
          <w:iCs/>
          <w:szCs w:val="28"/>
          <w14:ligatures w14:val="standardContextual"/>
        </w:rPr>
        <w:t>Spider Staging</w:t>
      </w:r>
      <w:r w:rsidR="00165808" w:rsidRPr="00C43543">
        <w:rPr>
          <w:szCs w:val="28"/>
          <w14:ligatures w14:val="standardContextual"/>
        </w:rPr>
        <w:t xml:space="preserve">’s </w:t>
      </w:r>
      <w:r w:rsidR="001201E4" w:rsidRPr="00C43543">
        <w:rPr>
          <w:szCs w:val="28"/>
          <w14:ligatures w14:val="standardContextual"/>
        </w:rPr>
        <w:t>approach to</w:t>
      </w:r>
      <w:r w:rsidR="00165808" w:rsidRPr="00C43543">
        <w:rPr>
          <w:szCs w:val="28"/>
          <w14:ligatures w14:val="standardContextual"/>
        </w:rPr>
        <w:t xml:space="preserve"> </w:t>
      </w:r>
      <w:r w:rsidRPr="00C43543">
        <w:rPr>
          <w:szCs w:val="28"/>
          <w14:ligatures w14:val="standardContextual"/>
        </w:rPr>
        <w:t>cases</w:t>
      </w:r>
      <w:r w:rsidR="00165808" w:rsidRPr="00C43543">
        <w:rPr>
          <w:szCs w:val="28"/>
          <w14:ligatures w14:val="standardContextual"/>
        </w:rPr>
        <w:t xml:space="preserve"> involving consumers injured in one state by products manufactured in another</w:t>
      </w:r>
      <w:r w:rsidRPr="00C43543">
        <w:rPr>
          <w:szCs w:val="28"/>
          <w14:ligatures w14:val="standardContextual"/>
        </w:rPr>
        <w:t xml:space="preserve">. </w:t>
      </w:r>
      <w:r w:rsidR="005125C7">
        <w:rPr>
          <w:i/>
          <w:iCs/>
          <w:szCs w:val="28"/>
          <w14:ligatures w14:val="standardContextual"/>
        </w:rPr>
        <w:t xml:space="preserve">C.f. </w:t>
      </w:r>
      <w:r w:rsidR="00673BE0" w:rsidRPr="00C43543">
        <w:rPr>
          <w:i/>
          <w:iCs/>
          <w:szCs w:val="28"/>
          <w14:ligatures w14:val="standardContextual"/>
        </w:rPr>
        <w:t xml:space="preserve">Boudreaux v. </w:t>
      </w:r>
      <w:r w:rsidR="00673BE0" w:rsidRPr="00C43543">
        <w:rPr>
          <w:i/>
          <w:iCs/>
          <w:szCs w:val="28"/>
          <w14:ligatures w14:val="standardContextual"/>
        </w:rPr>
        <w:lastRenderedPageBreak/>
        <w:t>Weyerhaeuser Co.</w:t>
      </w:r>
      <w:r w:rsidR="00673BE0" w:rsidRPr="00C43543">
        <w:rPr>
          <w:szCs w:val="28"/>
          <w14:ligatures w14:val="standardContextual"/>
        </w:rPr>
        <w:t xml:space="preserve">, 10 </w:t>
      </w:r>
      <w:proofErr w:type="spellStart"/>
      <w:r w:rsidR="004E0D08" w:rsidRPr="00C43543">
        <w:rPr>
          <w:szCs w:val="28"/>
          <w14:ligatures w14:val="standardContextual"/>
        </w:rPr>
        <w:t>Wn</w:t>
      </w:r>
      <w:proofErr w:type="spellEnd"/>
      <w:r w:rsidR="00673BE0" w:rsidRPr="00C43543">
        <w:rPr>
          <w:szCs w:val="28"/>
          <w14:ligatures w14:val="standardContextual"/>
        </w:rPr>
        <w:t>. App. 2d 289, 298 n.4, 448 P.3d 121 (2019)</w:t>
      </w:r>
      <w:r w:rsidR="00E141D1" w:rsidRPr="00C43543">
        <w:rPr>
          <w:szCs w:val="28"/>
          <w14:ligatures w14:val="standardContextual"/>
        </w:rPr>
        <w:fldChar w:fldCharType="begin"/>
      </w:r>
      <w:r w:rsidR="00E141D1" w:rsidRPr="00C43543">
        <w:rPr>
          <w:szCs w:val="28"/>
          <w14:ligatures w14:val="standardContextual"/>
        </w:rPr>
        <w:instrText xml:space="preserve"> TA \l "</w:instrText>
      </w:r>
      <w:r w:rsidR="00E141D1" w:rsidRPr="00C43543">
        <w:rPr>
          <w:i/>
          <w:iCs/>
          <w:szCs w:val="28"/>
          <w14:ligatures w14:val="standardContextual"/>
        </w:rPr>
        <w:instrText>Boudreaux v. Weyerhaeuser Co.</w:instrText>
      </w:r>
      <w:r w:rsidR="00E141D1" w:rsidRPr="00C43543">
        <w:rPr>
          <w:szCs w:val="28"/>
          <w14:ligatures w14:val="standardContextual"/>
        </w:rPr>
        <w:instrText>,</w:instrText>
      </w:r>
      <w:r w:rsidR="00E141D1" w:rsidRPr="00C43543">
        <w:rPr>
          <w:szCs w:val="28"/>
          <w14:ligatures w14:val="standardContextual"/>
        </w:rPr>
        <w:br/>
        <w:instrText xml:space="preserve">10 Wash. App. 2d 289, 448 P.3d 121 (2019)" \s "Boudreaux, 10 Wash. App. 2d 289" \c 1 </w:instrText>
      </w:r>
      <w:r w:rsidR="00E141D1" w:rsidRPr="00C43543">
        <w:rPr>
          <w:szCs w:val="28"/>
          <w14:ligatures w14:val="standardContextual"/>
        </w:rPr>
        <w:fldChar w:fldCharType="end"/>
      </w:r>
      <w:r w:rsidR="00450DE1">
        <w:rPr>
          <w:szCs w:val="28"/>
          <w14:ligatures w14:val="standardContextual"/>
        </w:rPr>
        <w:t xml:space="preserve"> (</w:t>
      </w:r>
      <w:r w:rsidR="001E39A2">
        <w:t xml:space="preserve">holding that </w:t>
      </w:r>
      <w:r w:rsidR="005125C7" w:rsidRPr="0018645A">
        <w:t>RCW 7.72.020(1)</w:t>
      </w:r>
      <w:r w:rsidR="001E39A2">
        <w:t>’s direction to preserve “previous existing law” required application of background rules for “subject matter jurisdiction of Washington’s superior courts over product-liability claims”</w:t>
      </w:r>
      <w:r w:rsidR="005125C7" w:rsidRPr="004F5632">
        <w:t>)</w:t>
      </w:r>
      <w:r w:rsidR="005125C7">
        <w:t>.</w:t>
      </w:r>
      <w:r w:rsidR="005125C7" w:rsidRPr="005125C7" w:rsidDel="005125C7">
        <w:rPr>
          <w:szCs w:val="28"/>
          <w14:ligatures w14:val="standardContextual"/>
        </w:rPr>
        <w:t xml:space="preserve"> </w:t>
      </w:r>
      <w:r w:rsidR="00165808" w:rsidRPr="00C43543">
        <w:rPr>
          <w:szCs w:val="28"/>
          <w14:ligatures w14:val="standardContextual"/>
        </w:rPr>
        <w:t>B</w:t>
      </w:r>
      <w:r w:rsidR="00DF4DD8" w:rsidRPr="00C43543">
        <w:rPr>
          <w:szCs w:val="28"/>
          <w14:ligatures w14:val="standardContextual"/>
        </w:rPr>
        <w:t xml:space="preserve">ecause nothing in the WPLA speaks </w:t>
      </w:r>
      <w:proofErr w:type="gramStart"/>
      <w:r w:rsidR="00DF4DD8" w:rsidRPr="00C43543">
        <w:rPr>
          <w:szCs w:val="28"/>
          <w14:ligatures w14:val="standardContextual"/>
        </w:rPr>
        <w:t>to</w:t>
      </w:r>
      <w:r w:rsidR="00673BE0" w:rsidRPr="00C43543">
        <w:rPr>
          <w:szCs w:val="28"/>
          <w14:ligatures w14:val="standardContextual"/>
        </w:rPr>
        <w:t xml:space="preserve"> </w:t>
      </w:r>
      <w:r w:rsidR="00DF4DD8" w:rsidRPr="00C43543">
        <w:rPr>
          <w:szCs w:val="28"/>
          <w14:ligatures w14:val="standardContextual"/>
        </w:rPr>
        <w:t>choice</w:t>
      </w:r>
      <w:proofErr w:type="gramEnd"/>
      <w:r w:rsidR="00DF4DD8" w:rsidRPr="00C43543">
        <w:rPr>
          <w:szCs w:val="28"/>
          <w14:ligatures w14:val="standardContextual"/>
        </w:rPr>
        <w:t>-of-law rules, let alone displaces th</w:t>
      </w:r>
      <w:r w:rsidR="00165808" w:rsidRPr="00C43543">
        <w:rPr>
          <w:szCs w:val="28"/>
          <w14:ligatures w14:val="standardContextual"/>
        </w:rPr>
        <w:t>em</w:t>
      </w:r>
      <w:r w:rsidR="00DF4DD8" w:rsidRPr="00C43543">
        <w:rPr>
          <w:szCs w:val="28"/>
          <w14:ligatures w14:val="standardContextual"/>
        </w:rPr>
        <w:t>, Washington’s well-established default rules still govern—and they mandate application of Missouri law here.</w:t>
      </w:r>
      <w:r w:rsidR="00741447" w:rsidRPr="00C43543">
        <w:rPr>
          <w:szCs w:val="28"/>
          <w14:ligatures w14:val="standardContextual"/>
        </w:rPr>
        <w:t xml:space="preserve"> In these circumstances, “[r]</w:t>
      </w:r>
      <w:proofErr w:type="spellStart"/>
      <w:r w:rsidR="00741447" w:rsidRPr="00C43543">
        <w:rPr>
          <w:szCs w:val="28"/>
          <w14:ligatures w14:val="standardContextual"/>
        </w:rPr>
        <w:t>ather</w:t>
      </w:r>
      <w:proofErr w:type="spellEnd"/>
      <w:r w:rsidR="00741447" w:rsidRPr="00C43543">
        <w:rPr>
          <w:szCs w:val="28"/>
          <w14:ligatures w14:val="standardContextual"/>
        </w:rPr>
        <w:t xml:space="preserve"> than reading the statute to say anything about the overarching topic of choice-of-law analysis, the state’s courts will presume that the statute leaves the state’s ordinary choice-of-law principles untouched.” Nelson, </w:t>
      </w:r>
      <w:r w:rsidR="0065197C" w:rsidRPr="00C43543">
        <w:rPr>
          <w:i/>
          <w:iCs/>
          <w:szCs w:val="28"/>
          <w14:ligatures w14:val="standardContextual"/>
        </w:rPr>
        <w:t>supra</w:t>
      </w:r>
      <w:r w:rsidR="00741447" w:rsidRPr="00C43543">
        <w:rPr>
          <w:szCs w:val="28"/>
          <w14:ligatures w14:val="standardContextual"/>
        </w:rPr>
        <w:t xml:space="preserve">, 80 U. Chi. L. Rev. </w:t>
      </w:r>
      <w:r w:rsidR="0096744A" w:rsidRPr="00C43543">
        <w:rPr>
          <w:szCs w:val="28"/>
          <w14:ligatures w14:val="standardContextual"/>
        </w:rPr>
        <w:t xml:space="preserve">at </w:t>
      </w:r>
      <w:r w:rsidR="00AA2B72" w:rsidRPr="00C43543">
        <w:rPr>
          <w:szCs w:val="28"/>
          <w14:ligatures w14:val="standardContextual"/>
        </w:rPr>
        <w:t>668</w:t>
      </w:r>
      <w:r w:rsidR="00AA2B72" w:rsidRPr="00C43543">
        <w:rPr>
          <w:szCs w:val="28"/>
          <w14:ligatures w14:val="standardContextual"/>
        </w:rPr>
        <w:fldChar w:fldCharType="begin"/>
      </w:r>
      <w:r w:rsidR="00AA2B72" w:rsidRPr="00C43543">
        <w:rPr>
          <w:szCs w:val="28"/>
          <w14:ligatures w14:val="standardContextual"/>
        </w:rPr>
        <w:instrText xml:space="preserve"> TA \l </w:instrText>
      </w:r>
      <w:r w:rsidR="005125C7">
        <w:rPr>
          <w:szCs w:val="28"/>
          <w14:ligatures w14:val="standardContextual"/>
        </w:rPr>
        <w:instrText>“</w:instrText>
      </w:r>
      <w:r w:rsidR="00AA2B72" w:rsidRPr="00C43543">
        <w:rPr>
          <w:szCs w:val="28"/>
          <w14:ligatures w14:val="standardContextual"/>
        </w:rPr>
        <w:instrText xml:space="preserve">Nelson, </w:instrText>
      </w:r>
      <w:r w:rsidR="00AA2B72" w:rsidRPr="00C43543">
        <w:rPr>
          <w:i/>
          <w:iCs/>
          <w:szCs w:val="28"/>
          <w14:ligatures w14:val="standardContextual"/>
        </w:rPr>
        <w:instrText>State and Federal Models</w:instrText>
      </w:r>
      <w:r w:rsidR="00AA2B72" w:rsidRPr="00C43543">
        <w:rPr>
          <w:szCs w:val="28"/>
          <w14:ligatures w14:val="standardContextual"/>
        </w:rPr>
        <w:instrText>, 80 U. Chi. L. Rev. 657 (2013)</w:instrText>
      </w:r>
      <w:r w:rsidR="005125C7">
        <w:rPr>
          <w:szCs w:val="28"/>
          <w14:ligatures w14:val="standardContextual"/>
        </w:rPr>
        <w:instrText>”</w:instrText>
      </w:r>
      <w:r w:rsidR="00AA2B72" w:rsidRPr="00C43543">
        <w:rPr>
          <w:szCs w:val="28"/>
          <w14:ligatures w14:val="standardContextual"/>
        </w:rPr>
        <w:instrText xml:space="preserve"> \s </w:instrText>
      </w:r>
      <w:r w:rsidR="005125C7">
        <w:rPr>
          <w:szCs w:val="28"/>
          <w14:ligatures w14:val="standardContextual"/>
        </w:rPr>
        <w:instrText>“</w:instrText>
      </w:r>
      <w:r w:rsidR="00AA2B72" w:rsidRPr="00C43543">
        <w:rPr>
          <w:szCs w:val="28"/>
          <w14:ligatures w14:val="standardContextual"/>
        </w:rPr>
        <w:instrText xml:space="preserve">Nelson, State and Federal Models, 80 U. Chi. L. Rev. 657, 668 (2013)" \c 3 </w:instrText>
      </w:r>
      <w:r w:rsidR="00AA2B72" w:rsidRPr="00C43543">
        <w:rPr>
          <w:szCs w:val="28"/>
          <w14:ligatures w14:val="standardContextual"/>
        </w:rPr>
        <w:fldChar w:fldCharType="end"/>
      </w:r>
      <w:r w:rsidR="00741447" w:rsidRPr="00C43543">
        <w:rPr>
          <w:szCs w:val="28"/>
          <w14:ligatures w14:val="standardContextual"/>
        </w:rPr>
        <w:t xml:space="preserve">. </w:t>
      </w:r>
    </w:p>
    <w:p w14:paraId="3BEB6F3B" w14:textId="6ED0D644" w:rsidR="00DF4DD8" w:rsidRPr="00C43543" w:rsidRDefault="00DF4DD8" w:rsidP="00DF4DD8">
      <w:pPr>
        <w:pStyle w:val="BodyText"/>
        <w:rPr>
          <w:szCs w:val="28"/>
          <w14:ligatures w14:val="standardContextual"/>
        </w:rPr>
      </w:pPr>
      <w:r w:rsidRPr="00C43543">
        <w:rPr>
          <w:rFonts w:eastAsiaTheme="majorEastAsia"/>
          <w:szCs w:val="28"/>
          <w14:ligatures w14:val="standardContextual"/>
        </w:rPr>
        <w:t xml:space="preserve">Monsanto claims otherwise, </w:t>
      </w:r>
      <w:r w:rsidRPr="00C43543">
        <w:rPr>
          <w:szCs w:val="28"/>
          <w14:ligatures w14:val="standardContextual"/>
        </w:rPr>
        <w:t>arguing that the legislature included in the WPLA “a statutory directive” requiring application of Washington law under Restatement (Second) of Conflict of Laws § 6(1)</w:t>
      </w:r>
      <w:r w:rsidR="00AA2B72" w:rsidRPr="00C43543">
        <w:rPr>
          <w:szCs w:val="28"/>
          <w14:ligatures w14:val="standardContextual"/>
        </w:rPr>
        <w:fldChar w:fldCharType="begin"/>
      </w:r>
      <w:r w:rsidR="00AA2B72" w:rsidRPr="00C43543">
        <w:rPr>
          <w:szCs w:val="28"/>
          <w14:ligatures w14:val="standardContextual"/>
        </w:rPr>
        <w:instrText xml:space="preserve"> TA \l </w:instrText>
      </w:r>
      <w:r w:rsidR="005125C7">
        <w:rPr>
          <w:szCs w:val="28"/>
          <w14:ligatures w14:val="standardContextual"/>
        </w:rPr>
        <w:instrText>“</w:instrText>
      </w:r>
      <w:r w:rsidR="00AA2B72" w:rsidRPr="00C43543">
        <w:rPr>
          <w:szCs w:val="28"/>
          <w14:ligatures w14:val="standardContextual"/>
        </w:rPr>
        <w:instrText>Restatement (Second) of Conflict of Laws § 6</w:instrText>
      </w:r>
      <w:r w:rsidR="005125C7">
        <w:rPr>
          <w:szCs w:val="28"/>
          <w14:ligatures w14:val="standardContextual"/>
        </w:rPr>
        <w:instrText>”</w:instrText>
      </w:r>
      <w:r w:rsidR="00AA2B72" w:rsidRPr="00C43543">
        <w:rPr>
          <w:szCs w:val="28"/>
          <w14:ligatures w14:val="standardContextual"/>
        </w:rPr>
        <w:instrText xml:space="preserve"> \s </w:instrText>
      </w:r>
      <w:r w:rsidR="005125C7">
        <w:rPr>
          <w:szCs w:val="28"/>
          <w14:ligatures w14:val="standardContextual"/>
        </w:rPr>
        <w:instrText>“</w:instrText>
      </w:r>
      <w:r w:rsidR="00AA2B72" w:rsidRPr="00C43543">
        <w:rPr>
          <w:szCs w:val="28"/>
          <w14:ligatures w14:val="standardContextual"/>
        </w:rPr>
        <w:instrText>Restatement (Second) of Conflict of Laws § 6(1)</w:instrText>
      </w:r>
      <w:r w:rsidR="005125C7">
        <w:rPr>
          <w:szCs w:val="28"/>
          <w14:ligatures w14:val="standardContextual"/>
        </w:rPr>
        <w:instrText>”</w:instrText>
      </w:r>
      <w:r w:rsidR="00AA2B72" w:rsidRPr="00C43543">
        <w:rPr>
          <w:szCs w:val="28"/>
          <w14:ligatures w14:val="standardContextual"/>
        </w:rPr>
        <w:instrText xml:space="preserve"> \c 3 </w:instrText>
      </w:r>
      <w:r w:rsidR="00AA2B72" w:rsidRPr="00C43543">
        <w:rPr>
          <w:szCs w:val="28"/>
          <w14:ligatures w14:val="standardContextual"/>
        </w:rPr>
        <w:fldChar w:fldCharType="end"/>
      </w:r>
      <w:r w:rsidRPr="00C43543">
        <w:rPr>
          <w:szCs w:val="28"/>
          <w14:ligatures w14:val="standardContextual"/>
        </w:rPr>
        <w:t xml:space="preserve">. According to Monsanto (at 31-32), the WPLA’s provision that “a product seller </w:t>
      </w:r>
      <w:r w:rsidRPr="00C43543">
        <w:rPr>
          <w:i/>
          <w:iCs/>
          <w:szCs w:val="28"/>
          <w14:ligatures w14:val="standardContextual"/>
        </w:rPr>
        <w:t xml:space="preserve">shall not </w:t>
      </w:r>
      <w:r w:rsidRPr="00C43543">
        <w:rPr>
          <w:szCs w:val="28"/>
          <w14:ligatures w14:val="standardContextual"/>
        </w:rPr>
        <w:t>be subject to liability” after the repose period is such a directive because it uses “mandatory, unequivocal language” to “limit the WPLA’s scope.”</w:t>
      </w:r>
    </w:p>
    <w:p w14:paraId="5216EED8" w14:textId="1FC6396B" w:rsidR="00DF4DD8" w:rsidRPr="00C43543" w:rsidRDefault="00DF4DD8" w:rsidP="00DF4DD8">
      <w:pPr>
        <w:pStyle w:val="BodyText"/>
        <w:rPr>
          <w:szCs w:val="28"/>
          <w14:ligatures w14:val="standardContextual"/>
        </w:rPr>
      </w:pPr>
      <w:r w:rsidRPr="00C43543">
        <w:rPr>
          <w:szCs w:val="28"/>
          <w14:ligatures w14:val="standardContextual"/>
        </w:rPr>
        <w:lastRenderedPageBreak/>
        <w:t xml:space="preserve">That language, however, says nothing about which state’s law applies. To constitute a “statutory directive </w:t>
      </w:r>
      <w:proofErr w:type="gramStart"/>
      <w:r w:rsidR="00673BE0" w:rsidRPr="00C43543">
        <w:rPr>
          <w:szCs w:val="28"/>
          <w14:ligatures w14:val="standardContextual"/>
        </w:rPr>
        <w:t>to</w:t>
      </w:r>
      <w:r w:rsidRPr="00C43543">
        <w:rPr>
          <w:szCs w:val="28"/>
          <w14:ligatures w14:val="standardContextual"/>
        </w:rPr>
        <w:t xml:space="preserve"> choice</w:t>
      </w:r>
      <w:proofErr w:type="gramEnd"/>
      <w:r w:rsidRPr="00C43543">
        <w:rPr>
          <w:szCs w:val="28"/>
          <w14:ligatures w14:val="standardContextual"/>
        </w:rPr>
        <w:t xml:space="preserve"> of law,” a statute must be “expressly directed to choice of law”—that is, it must expressly “provide for the application of the local law of one state, rather than the local law of another.” </w:t>
      </w:r>
      <w:r w:rsidR="00673BE0" w:rsidRPr="00C43543">
        <w:rPr>
          <w:szCs w:val="28"/>
          <w14:ligatures w14:val="standardContextual"/>
        </w:rPr>
        <w:t>Restatement (Second) of Conflict of Laws</w:t>
      </w:r>
      <w:r w:rsidRPr="00C43543">
        <w:rPr>
          <w:szCs w:val="28"/>
          <w14:ligatures w14:val="standardContextual"/>
        </w:rPr>
        <w:t xml:space="preserve"> § 6, </w:t>
      </w:r>
      <w:proofErr w:type="spellStart"/>
      <w:r w:rsidRPr="00C43543">
        <w:rPr>
          <w:szCs w:val="28"/>
          <w14:ligatures w14:val="standardContextual"/>
        </w:rPr>
        <w:t>cmt</w:t>
      </w:r>
      <w:proofErr w:type="spellEnd"/>
      <w:r w:rsidRPr="00C43543">
        <w:rPr>
          <w:szCs w:val="28"/>
          <w14:ligatures w14:val="standardContextual"/>
        </w:rPr>
        <w:t>. a</w:t>
      </w:r>
      <w:r w:rsidR="00AA2B72" w:rsidRPr="00C43543">
        <w:rPr>
          <w:szCs w:val="28"/>
          <w14:ligatures w14:val="standardContextual"/>
        </w:rPr>
        <w:fldChar w:fldCharType="begin"/>
      </w:r>
      <w:r w:rsidR="00AA2B72" w:rsidRPr="00C43543">
        <w:rPr>
          <w:szCs w:val="28"/>
          <w14:ligatures w14:val="standardContextual"/>
        </w:rPr>
        <w:instrText xml:space="preserve"> TA \s </w:instrText>
      </w:r>
      <w:r w:rsidR="005125C7">
        <w:rPr>
          <w:szCs w:val="28"/>
          <w14:ligatures w14:val="standardContextual"/>
        </w:rPr>
        <w:instrText>“</w:instrText>
      </w:r>
      <w:r w:rsidR="00AA2B72" w:rsidRPr="00C43543">
        <w:rPr>
          <w:szCs w:val="28"/>
          <w14:ligatures w14:val="standardContextual"/>
        </w:rPr>
        <w:instrText>Restatement (Second) of Conflict of Laws § 6(1)</w:instrText>
      </w:r>
      <w:r w:rsidR="005125C7">
        <w:rPr>
          <w:szCs w:val="28"/>
          <w14:ligatures w14:val="standardContextual"/>
        </w:rPr>
        <w:instrText>”</w:instrText>
      </w:r>
      <w:r w:rsidR="00AA2B72" w:rsidRPr="00C43543">
        <w:rPr>
          <w:szCs w:val="28"/>
          <w14:ligatures w14:val="standardContextual"/>
        </w:rPr>
        <w:instrText xml:space="preserve"> </w:instrText>
      </w:r>
      <w:r w:rsidR="00AA2B72" w:rsidRPr="00C43543">
        <w:rPr>
          <w:szCs w:val="28"/>
          <w14:ligatures w14:val="standardContextual"/>
        </w:rPr>
        <w:fldChar w:fldCharType="end"/>
      </w:r>
      <w:r w:rsidRPr="00C43543">
        <w:rPr>
          <w:szCs w:val="28"/>
          <w14:ligatures w14:val="standardContextual"/>
        </w:rPr>
        <w:t xml:space="preserve">. The language on which Monsanto relies merely establishes a repose period as a substantive rule of </w:t>
      </w:r>
      <w:r w:rsidRPr="00C43543">
        <w:rPr>
          <w:i/>
          <w:iCs/>
          <w:szCs w:val="28"/>
          <w14:ligatures w14:val="standardContextual"/>
        </w:rPr>
        <w:t>Washington</w:t>
      </w:r>
      <w:r w:rsidRPr="00C43543">
        <w:rPr>
          <w:szCs w:val="28"/>
          <w14:ligatures w14:val="standardContextual"/>
        </w:rPr>
        <w:t xml:space="preserve"> law. It doesn</w:t>
      </w:r>
      <w:r w:rsidR="00D83B07" w:rsidRPr="00C43543">
        <w:rPr>
          <w:szCs w:val="28"/>
          <w14:ligatures w14:val="standardContextual"/>
        </w:rPr>
        <w:t>’</w:t>
      </w:r>
      <w:r w:rsidRPr="00C43543">
        <w:rPr>
          <w:szCs w:val="28"/>
          <w14:ligatures w14:val="standardContextual"/>
        </w:rPr>
        <w:t>t provide for the “</w:t>
      </w:r>
      <w:r w:rsidRPr="00C43543">
        <w:rPr>
          <w:i/>
          <w:iCs/>
          <w:szCs w:val="28"/>
          <w14:ligatures w14:val="standardContextual"/>
        </w:rPr>
        <w:t>application</w:t>
      </w:r>
      <w:r w:rsidRPr="00C43543">
        <w:rPr>
          <w:szCs w:val="28"/>
          <w14:ligatures w14:val="standardContextual"/>
        </w:rPr>
        <w:t xml:space="preserve">” of that law in any court. </w:t>
      </w:r>
      <w:r w:rsidRPr="00C43543">
        <w:rPr>
          <w:i/>
          <w:iCs/>
          <w:szCs w:val="28"/>
          <w14:ligatures w14:val="standardContextual"/>
        </w:rPr>
        <w:t>Id.</w:t>
      </w:r>
      <w:r w:rsidRPr="00C43543">
        <w:rPr>
          <w:szCs w:val="28"/>
          <w14:ligatures w14:val="standardContextual"/>
        </w:rPr>
        <w:t xml:space="preserve"> (emphasis added). </w:t>
      </w:r>
      <w:r w:rsidR="00D83B07" w:rsidRPr="00C43543">
        <w:rPr>
          <w:szCs w:val="28"/>
          <w14:ligatures w14:val="standardContextual"/>
        </w:rPr>
        <w:t>Put another way, it</w:t>
      </w:r>
      <w:r w:rsidRPr="00C43543">
        <w:rPr>
          <w:szCs w:val="28"/>
          <w14:ligatures w14:val="standardContextual"/>
        </w:rPr>
        <w:t xml:space="preserve"> doesn</w:t>
      </w:r>
      <w:r w:rsidR="00D83B07" w:rsidRPr="00C43543">
        <w:rPr>
          <w:szCs w:val="28"/>
          <w14:ligatures w14:val="standardContextual"/>
        </w:rPr>
        <w:t>’</w:t>
      </w:r>
      <w:r w:rsidRPr="00C43543">
        <w:rPr>
          <w:szCs w:val="28"/>
          <w14:ligatures w14:val="standardContextual"/>
        </w:rPr>
        <w:t>t mandate that Washington’s substantive law apply “</w:t>
      </w:r>
      <w:r w:rsidRPr="00C43543">
        <w:rPr>
          <w:i/>
          <w:iCs/>
          <w:szCs w:val="28"/>
          <w14:ligatures w14:val="standardContextual"/>
        </w:rPr>
        <w:t>regardless of the domicile</w:t>
      </w:r>
      <w:r w:rsidRPr="00C43543">
        <w:rPr>
          <w:szCs w:val="28"/>
          <w14:ligatures w14:val="standardContextual"/>
        </w:rPr>
        <w:t>” of the defendant.</w:t>
      </w:r>
      <w:r w:rsidRPr="00C43543">
        <w:rPr>
          <w:i/>
          <w:iCs/>
          <w:szCs w:val="28"/>
          <w14:ligatures w14:val="standardContextual"/>
        </w:rPr>
        <w:t xml:space="preserve"> Cairns v. Franklin Mint Co.</w:t>
      </w:r>
      <w:r w:rsidRPr="00C43543">
        <w:rPr>
          <w:szCs w:val="28"/>
          <w14:ligatures w14:val="standardContextual"/>
        </w:rPr>
        <w:t>, 292 F.3d 1139, 1147 (9th Cir. 2002)</w:t>
      </w:r>
      <w:r w:rsidR="00AA2B72" w:rsidRPr="00C43543">
        <w:rPr>
          <w:szCs w:val="28"/>
          <w14:ligatures w14:val="standardContextual"/>
        </w:rPr>
        <w:fldChar w:fldCharType="begin"/>
      </w:r>
      <w:r w:rsidR="00AA2B72" w:rsidRPr="00C43543">
        <w:rPr>
          <w:szCs w:val="28"/>
          <w14:ligatures w14:val="standardContextual"/>
        </w:rPr>
        <w:instrText xml:space="preserve"> TA \l </w:instrText>
      </w:r>
      <w:r w:rsidR="005125C7">
        <w:rPr>
          <w:szCs w:val="28"/>
          <w14:ligatures w14:val="standardContextual"/>
        </w:rPr>
        <w:instrText>“</w:instrText>
      </w:r>
      <w:r w:rsidR="00AA2B72" w:rsidRPr="00C43543">
        <w:rPr>
          <w:i/>
          <w:iCs/>
          <w:szCs w:val="28"/>
          <w14:ligatures w14:val="standardContextual"/>
        </w:rPr>
        <w:instrText>Cairns v. Franklin Mint Co.</w:instrText>
      </w:r>
      <w:r w:rsidR="00AA2B72" w:rsidRPr="00C43543">
        <w:rPr>
          <w:szCs w:val="28"/>
          <w14:ligatures w14:val="standardContextual"/>
        </w:rPr>
        <w:instrText>,</w:instrText>
      </w:r>
      <w:r w:rsidR="00AA2B72" w:rsidRPr="00C43543">
        <w:rPr>
          <w:szCs w:val="28"/>
          <w14:ligatures w14:val="standardContextual"/>
        </w:rPr>
        <w:br/>
        <w:instrText>292 F.3d 1139 (9th Cir. 2002)</w:instrText>
      </w:r>
      <w:r w:rsidR="005125C7">
        <w:rPr>
          <w:szCs w:val="28"/>
          <w14:ligatures w14:val="standardContextual"/>
        </w:rPr>
        <w:instrText>”</w:instrText>
      </w:r>
      <w:r w:rsidR="00AA2B72" w:rsidRPr="00C43543">
        <w:rPr>
          <w:szCs w:val="28"/>
          <w14:ligatures w14:val="standardContextual"/>
        </w:rPr>
        <w:instrText xml:space="preserve"> \s </w:instrText>
      </w:r>
      <w:r w:rsidR="005125C7">
        <w:rPr>
          <w:szCs w:val="28"/>
          <w14:ligatures w14:val="standardContextual"/>
        </w:rPr>
        <w:instrText>“</w:instrText>
      </w:r>
      <w:r w:rsidR="00AA2B72" w:rsidRPr="00C43543">
        <w:rPr>
          <w:szCs w:val="28"/>
          <w14:ligatures w14:val="standardContextual"/>
        </w:rPr>
        <w:instrText>Cairns v. Franklin Mint, 292 F.3d 1139</w:instrText>
      </w:r>
      <w:r w:rsidR="005125C7">
        <w:rPr>
          <w:szCs w:val="28"/>
          <w14:ligatures w14:val="standardContextual"/>
        </w:rPr>
        <w:instrText>”</w:instrText>
      </w:r>
      <w:r w:rsidR="00AA2B72" w:rsidRPr="00C43543">
        <w:rPr>
          <w:szCs w:val="28"/>
          <w14:ligatures w14:val="standardContextual"/>
        </w:rPr>
        <w:instrText xml:space="preserve"> \c 1 </w:instrText>
      </w:r>
      <w:r w:rsidR="00AA2B72" w:rsidRPr="00C43543">
        <w:rPr>
          <w:szCs w:val="28"/>
          <w14:ligatures w14:val="standardContextual"/>
        </w:rPr>
        <w:fldChar w:fldCharType="end"/>
      </w:r>
      <w:r w:rsidRPr="00C43543">
        <w:rPr>
          <w:szCs w:val="28"/>
          <w14:ligatures w14:val="standardContextual"/>
        </w:rPr>
        <w:t>.</w:t>
      </w:r>
      <w:r w:rsidRPr="00C43543">
        <w:rPr>
          <w:i/>
          <w:iCs/>
          <w:szCs w:val="28"/>
          <w14:ligatures w14:val="standardContextual"/>
        </w:rPr>
        <w:t xml:space="preserve"> </w:t>
      </w:r>
    </w:p>
    <w:p w14:paraId="54D5A816" w14:textId="67BD8095" w:rsidR="00DF4DD8" w:rsidRPr="00C43543" w:rsidRDefault="00A107E5" w:rsidP="00DF4DD8">
      <w:pPr>
        <w:pStyle w:val="BodyText"/>
        <w:rPr>
          <w:szCs w:val="28"/>
          <w14:ligatures w14:val="standardContextual"/>
        </w:rPr>
      </w:pPr>
      <w:r w:rsidRPr="00C43543">
        <w:rPr>
          <w:szCs w:val="28"/>
          <w14:ligatures w14:val="standardContextual"/>
        </w:rPr>
        <w:t xml:space="preserve">As the Restatement explains, a “court will rarely find that a question of choice of law is explicitly covered by statute.” Restatement (Second) of Conflict of Laws § 6, </w:t>
      </w:r>
      <w:proofErr w:type="spellStart"/>
      <w:r w:rsidRPr="00C43543">
        <w:rPr>
          <w:szCs w:val="28"/>
          <w14:ligatures w14:val="standardContextual"/>
        </w:rPr>
        <w:t>cmt</w:t>
      </w:r>
      <w:proofErr w:type="spellEnd"/>
      <w:r w:rsidRPr="00C43543">
        <w:rPr>
          <w:szCs w:val="28"/>
          <w14:ligatures w14:val="standardContextual"/>
        </w:rPr>
        <w:t>. b</w:t>
      </w:r>
      <w:r w:rsidRPr="00C43543">
        <w:rPr>
          <w:szCs w:val="28"/>
          <w14:ligatures w14:val="standardContextual"/>
        </w:rPr>
        <w:fldChar w:fldCharType="begin"/>
      </w:r>
      <w:r w:rsidRPr="00C43543">
        <w:rPr>
          <w:szCs w:val="28"/>
          <w14:ligatures w14:val="standardContextual"/>
        </w:rPr>
        <w:instrText xml:space="preserve"> TA \s </w:instrText>
      </w:r>
      <w:r w:rsidR="005125C7">
        <w:rPr>
          <w:szCs w:val="28"/>
          <w14:ligatures w14:val="standardContextual"/>
        </w:rPr>
        <w:instrText>“</w:instrText>
      </w:r>
      <w:r w:rsidRPr="00C43543">
        <w:rPr>
          <w:szCs w:val="28"/>
          <w14:ligatures w14:val="standardContextual"/>
        </w:rPr>
        <w:instrText>Restatement (Second) of Conflict of Laws § 6(1)</w:instrText>
      </w:r>
      <w:r w:rsidR="005125C7">
        <w:rPr>
          <w:szCs w:val="28"/>
          <w14:ligatures w14:val="standardContextual"/>
        </w:rPr>
        <w:instrText>”</w:instrText>
      </w:r>
      <w:r w:rsidRPr="00C43543">
        <w:rPr>
          <w:szCs w:val="28"/>
          <w14:ligatures w14:val="standardContextual"/>
        </w:rPr>
        <w:instrText xml:space="preserve"> </w:instrText>
      </w:r>
      <w:r w:rsidRPr="00C43543">
        <w:rPr>
          <w:szCs w:val="28"/>
          <w14:ligatures w14:val="standardContextual"/>
        </w:rPr>
        <w:fldChar w:fldCharType="end"/>
      </w:r>
      <w:r w:rsidRPr="00C43543">
        <w:rPr>
          <w:szCs w:val="28"/>
          <w14:ligatures w14:val="standardContextual"/>
        </w:rPr>
        <w:t xml:space="preserve"> (explaining that such statutes are “few in number”). The Restatement thus “reinforces the premise that individual state statutes usually do not address, let alone override, the state’s ordinary choice-of-law principles.” Nelson, </w:t>
      </w:r>
      <w:r w:rsidR="0065197C" w:rsidRPr="00C43543">
        <w:rPr>
          <w:i/>
          <w:iCs/>
          <w:szCs w:val="28"/>
          <w14:ligatures w14:val="standardContextual"/>
        </w:rPr>
        <w:t>supra</w:t>
      </w:r>
      <w:r w:rsidRPr="00C43543">
        <w:rPr>
          <w:szCs w:val="28"/>
          <w14:ligatures w14:val="standardContextual"/>
        </w:rPr>
        <w:t>, 80 U. Chi. L. Rev. at 668</w:t>
      </w:r>
      <w:r w:rsidRPr="00C43543">
        <w:rPr>
          <w:szCs w:val="28"/>
          <w14:ligatures w14:val="standardContextual"/>
        </w:rPr>
        <w:fldChar w:fldCharType="begin"/>
      </w:r>
      <w:r w:rsidRPr="00C43543">
        <w:rPr>
          <w:szCs w:val="28"/>
          <w14:ligatures w14:val="standardContextual"/>
        </w:rPr>
        <w:instrText xml:space="preserve"> TA \l </w:instrText>
      </w:r>
      <w:r w:rsidR="005125C7">
        <w:rPr>
          <w:szCs w:val="28"/>
          <w14:ligatures w14:val="standardContextual"/>
        </w:rPr>
        <w:instrText>“</w:instrText>
      </w:r>
      <w:r w:rsidRPr="00C43543">
        <w:rPr>
          <w:szCs w:val="28"/>
          <w14:ligatures w14:val="standardContextual"/>
        </w:rPr>
        <w:instrText xml:space="preserve">Nelson, </w:instrText>
      </w:r>
      <w:r w:rsidRPr="00C43543">
        <w:rPr>
          <w:i/>
          <w:iCs/>
          <w:szCs w:val="28"/>
          <w14:ligatures w14:val="standardContextual"/>
        </w:rPr>
        <w:instrText>State and Federal Models</w:instrText>
      </w:r>
      <w:r w:rsidRPr="00C43543">
        <w:rPr>
          <w:szCs w:val="28"/>
          <w14:ligatures w14:val="standardContextual"/>
        </w:rPr>
        <w:instrText>, 80 U. Chi. L. Rev. 657 (2013)</w:instrText>
      </w:r>
      <w:r w:rsidR="005125C7">
        <w:rPr>
          <w:szCs w:val="28"/>
          <w14:ligatures w14:val="standardContextual"/>
        </w:rPr>
        <w:instrText>”</w:instrText>
      </w:r>
      <w:r w:rsidRPr="00C43543">
        <w:rPr>
          <w:szCs w:val="28"/>
          <w14:ligatures w14:val="standardContextual"/>
        </w:rPr>
        <w:instrText xml:space="preserve"> \s </w:instrText>
      </w:r>
      <w:r w:rsidR="005125C7">
        <w:rPr>
          <w:szCs w:val="28"/>
          <w14:ligatures w14:val="standardContextual"/>
        </w:rPr>
        <w:instrText>“</w:instrText>
      </w:r>
      <w:r w:rsidRPr="00C43543">
        <w:rPr>
          <w:szCs w:val="28"/>
          <w14:ligatures w14:val="standardContextual"/>
        </w:rPr>
        <w:instrText>Nelson, State and Federal Models, 80 U. Chi. L. Rev. 657, 668 (2013)</w:instrText>
      </w:r>
      <w:r w:rsidR="005125C7">
        <w:rPr>
          <w:szCs w:val="28"/>
          <w14:ligatures w14:val="standardContextual"/>
        </w:rPr>
        <w:instrText>”</w:instrText>
      </w:r>
      <w:r w:rsidRPr="00C43543">
        <w:rPr>
          <w:szCs w:val="28"/>
          <w14:ligatures w14:val="standardContextual"/>
        </w:rPr>
        <w:instrText xml:space="preserve"> \c 3 </w:instrText>
      </w:r>
      <w:r w:rsidRPr="00C43543">
        <w:rPr>
          <w:szCs w:val="28"/>
          <w14:ligatures w14:val="standardContextual"/>
        </w:rPr>
        <w:fldChar w:fldCharType="end"/>
      </w:r>
      <w:r w:rsidRPr="00C43543">
        <w:rPr>
          <w:szCs w:val="28"/>
          <w14:ligatures w14:val="standardContextual"/>
        </w:rPr>
        <w:t xml:space="preserve">. </w:t>
      </w:r>
      <w:r w:rsidR="00DF4DD8" w:rsidRPr="00C43543">
        <w:rPr>
          <w:szCs w:val="28"/>
          <w14:ligatures w14:val="standardContextual"/>
        </w:rPr>
        <w:t xml:space="preserve">The Restatement cites as one example a section of the UCC providing </w:t>
      </w:r>
      <w:r w:rsidR="00DF4DD8" w:rsidRPr="00C43543">
        <w:rPr>
          <w:szCs w:val="28"/>
          <w14:ligatures w14:val="standardContextual"/>
        </w:rPr>
        <w:lastRenderedPageBreak/>
        <w:t>that a bank’s “liability is governed by the law of the place where the branch or separate office is located.” U.C.C. § 4-102</w:t>
      </w:r>
      <w:r w:rsidR="00673BE0" w:rsidRPr="00C43543">
        <w:rPr>
          <w:szCs w:val="28"/>
          <w14:ligatures w14:val="standardContextual"/>
        </w:rPr>
        <w:t>(b)</w:t>
      </w:r>
      <w:r w:rsidR="00DF4DD8" w:rsidRPr="00C43543">
        <w:rPr>
          <w:szCs w:val="28"/>
          <w14:ligatures w14:val="standardContextual"/>
        </w:rPr>
        <w:t xml:space="preserve"> (1977)</w:t>
      </w:r>
      <w:r w:rsidR="00165F5A" w:rsidRPr="00C43543">
        <w:rPr>
          <w:szCs w:val="28"/>
          <w14:ligatures w14:val="standardContextual"/>
        </w:rPr>
        <w:fldChar w:fldCharType="begin"/>
      </w:r>
      <w:r w:rsidR="00165F5A" w:rsidRPr="00C43543">
        <w:rPr>
          <w:szCs w:val="28"/>
          <w14:ligatures w14:val="standardContextual"/>
        </w:rPr>
        <w:instrText xml:space="preserve"> TA \l </w:instrText>
      </w:r>
      <w:r w:rsidR="005125C7">
        <w:rPr>
          <w:szCs w:val="28"/>
          <w14:ligatures w14:val="standardContextual"/>
        </w:rPr>
        <w:instrText>“</w:instrText>
      </w:r>
      <w:r w:rsidR="00165F5A" w:rsidRPr="00C43543">
        <w:rPr>
          <w:szCs w:val="28"/>
          <w14:ligatures w14:val="standardContextual"/>
        </w:rPr>
        <w:instrText>U.C.C. § 4-102 (1977)</w:instrText>
      </w:r>
      <w:r w:rsidR="005125C7">
        <w:rPr>
          <w:szCs w:val="28"/>
          <w14:ligatures w14:val="standardContextual"/>
        </w:rPr>
        <w:instrText>”</w:instrText>
      </w:r>
      <w:r w:rsidR="00165F5A" w:rsidRPr="00C43543">
        <w:rPr>
          <w:szCs w:val="28"/>
          <w14:ligatures w14:val="standardContextual"/>
        </w:rPr>
        <w:instrText xml:space="preserve"> \s </w:instrText>
      </w:r>
      <w:r w:rsidR="005125C7">
        <w:rPr>
          <w:szCs w:val="28"/>
          <w14:ligatures w14:val="standardContextual"/>
        </w:rPr>
        <w:instrText>“</w:instrText>
      </w:r>
      <w:r w:rsidR="00165F5A" w:rsidRPr="00C43543">
        <w:rPr>
          <w:szCs w:val="28"/>
          <w14:ligatures w14:val="standardContextual"/>
        </w:rPr>
        <w:instrText>U.C.C. § 4-102 (1977)</w:instrText>
      </w:r>
      <w:r w:rsidR="005125C7">
        <w:rPr>
          <w:szCs w:val="28"/>
          <w14:ligatures w14:val="standardContextual"/>
        </w:rPr>
        <w:instrText>”</w:instrText>
      </w:r>
      <w:r w:rsidR="00165F5A" w:rsidRPr="00C43543">
        <w:rPr>
          <w:szCs w:val="28"/>
          <w14:ligatures w14:val="standardContextual"/>
        </w:rPr>
        <w:instrText xml:space="preserve"> \c 2 </w:instrText>
      </w:r>
      <w:r w:rsidR="00165F5A" w:rsidRPr="00C43543">
        <w:rPr>
          <w:szCs w:val="28"/>
          <w14:ligatures w14:val="standardContextual"/>
        </w:rPr>
        <w:fldChar w:fldCharType="end"/>
      </w:r>
      <w:r w:rsidR="00DF4DD8" w:rsidRPr="00C43543">
        <w:rPr>
          <w:szCs w:val="28"/>
          <w14:ligatures w14:val="standardContextual"/>
        </w:rPr>
        <w:t xml:space="preserve">. Another example is Washington’s borrowing statute, which provides rules for determining which state’s statute of limitations governs a claim. RCW 4.18.020. Other states have similar choice-of-law directives governing their statutes of repose. </w:t>
      </w:r>
      <w:r w:rsidR="00DF4DD8" w:rsidRPr="00C43543">
        <w:rPr>
          <w:i/>
          <w:iCs/>
          <w:szCs w:val="28"/>
          <w14:ligatures w14:val="standardContextual"/>
        </w:rPr>
        <w:t xml:space="preserve">See </w:t>
      </w:r>
      <w:r w:rsidR="00DF4DD8" w:rsidRPr="00C43543">
        <w:rPr>
          <w:szCs w:val="28"/>
          <w14:ligatures w14:val="standardContextual"/>
        </w:rPr>
        <w:t>Or. Rev. Stat. § 30.905(2)(b)</w:t>
      </w:r>
      <w:r w:rsidR="00165F5A" w:rsidRPr="00C43543">
        <w:rPr>
          <w:szCs w:val="28"/>
          <w14:ligatures w14:val="standardContextual"/>
        </w:rPr>
        <w:fldChar w:fldCharType="begin"/>
      </w:r>
      <w:r w:rsidR="00165F5A" w:rsidRPr="00C43543">
        <w:rPr>
          <w:szCs w:val="28"/>
          <w14:ligatures w14:val="standardContextual"/>
        </w:rPr>
        <w:instrText xml:space="preserve"> TA \s </w:instrText>
      </w:r>
      <w:r w:rsidR="005125C7">
        <w:rPr>
          <w:szCs w:val="28"/>
          <w14:ligatures w14:val="standardContextual"/>
        </w:rPr>
        <w:instrText>“</w:instrText>
      </w:r>
      <w:r w:rsidR="00165F5A" w:rsidRPr="00C43543">
        <w:rPr>
          <w:szCs w:val="28"/>
          <w14:ligatures w14:val="standardContextual"/>
        </w:rPr>
        <w:instrText>Or. Rev. Stat. § 30.905</w:instrText>
      </w:r>
      <w:r w:rsidR="005125C7">
        <w:rPr>
          <w:szCs w:val="28"/>
          <w14:ligatures w14:val="standardContextual"/>
        </w:rPr>
        <w:instrText>”</w:instrText>
      </w:r>
      <w:r w:rsidR="00165F5A" w:rsidRPr="00C43543">
        <w:rPr>
          <w:szCs w:val="28"/>
          <w14:ligatures w14:val="standardContextual"/>
        </w:rPr>
        <w:instrText xml:space="preserve"> </w:instrText>
      </w:r>
      <w:r w:rsidR="00165F5A" w:rsidRPr="00C43543">
        <w:rPr>
          <w:szCs w:val="28"/>
          <w14:ligatures w14:val="standardContextual"/>
        </w:rPr>
        <w:fldChar w:fldCharType="end"/>
      </w:r>
      <w:r w:rsidR="00DF4DD8" w:rsidRPr="00C43543">
        <w:rPr>
          <w:szCs w:val="28"/>
          <w14:ligatures w14:val="standardContextual"/>
        </w:rPr>
        <w:t>; Neb. Rev. Stat. § 25-224</w:t>
      </w:r>
      <w:r w:rsidR="00165F5A" w:rsidRPr="00C43543">
        <w:rPr>
          <w:szCs w:val="28"/>
          <w14:ligatures w14:val="standardContextual"/>
        </w:rPr>
        <w:fldChar w:fldCharType="begin"/>
      </w:r>
      <w:r w:rsidR="00165F5A" w:rsidRPr="00C43543">
        <w:rPr>
          <w:szCs w:val="28"/>
          <w14:ligatures w14:val="standardContextual"/>
        </w:rPr>
        <w:instrText xml:space="preserve"> TA \s </w:instrText>
      </w:r>
      <w:r w:rsidR="005125C7">
        <w:rPr>
          <w:szCs w:val="28"/>
          <w14:ligatures w14:val="standardContextual"/>
        </w:rPr>
        <w:instrText>“</w:instrText>
      </w:r>
      <w:r w:rsidR="00165F5A" w:rsidRPr="00C43543">
        <w:rPr>
          <w:szCs w:val="28"/>
          <w14:ligatures w14:val="standardContextual"/>
        </w:rPr>
        <w:instrText>Neb. Rev. Stat. § 25-224</w:instrText>
      </w:r>
      <w:r w:rsidR="005125C7">
        <w:rPr>
          <w:szCs w:val="28"/>
          <w14:ligatures w14:val="standardContextual"/>
        </w:rPr>
        <w:instrText>”</w:instrText>
      </w:r>
      <w:r w:rsidR="00165F5A" w:rsidRPr="00C43543">
        <w:rPr>
          <w:szCs w:val="28"/>
          <w14:ligatures w14:val="standardContextual"/>
        </w:rPr>
        <w:instrText xml:space="preserve"> </w:instrText>
      </w:r>
      <w:r w:rsidR="00165F5A" w:rsidRPr="00C43543">
        <w:rPr>
          <w:szCs w:val="28"/>
          <w14:ligatures w14:val="standardContextual"/>
        </w:rPr>
        <w:fldChar w:fldCharType="end"/>
      </w:r>
      <w:r w:rsidR="00DF4DD8" w:rsidRPr="00C43543">
        <w:rPr>
          <w:szCs w:val="28"/>
          <w14:ligatures w14:val="standardContextual"/>
        </w:rPr>
        <w:t>.</w:t>
      </w:r>
      <w:r w:rsidR="00DF4DD8" w:rsidRPr="00C43543">
        <w:rPr>
          <w:rStyle w:val="FootnoteReference"/>
          <w:szCs w:val="28"/>
          <w14:ligatures w14:val="standardContextual"/>
        </w:rPr>
        <w:footnoteReference w:id="7"/>
      </w:r>
    </w:p>
    <w:p w14:paraId="239E491B" w14:textId="7C1554C7" w:rsidR="00DF4DD8" w:rsidRPr="00C43543" w:rsidRDefault="00DF4DD8" w:rsidP="00DF4DD8">
      <w:pPr>
        <w:pStyle w:val="BodyText"/>
        <w:rPr>
          <w:szCs w:val="28"/>
          <w14:ligatures w14:val="standardContextual"/>
        </w:rPr>
      </w:pPr>
      <w:r w:rsidRPr="00C43543">
        <w:rPr>
          <w:szCs w:val="28"/>
          <w14:ligatures w14:val="standardContextual"/>
        </w:rPr>
        <w:t>The WPLA’s statute of repose loo</w:t>
      </w:r>
      <w:r w:rsidR="00110D97">
        <w:rPr>
          <w:szCs w:val="28"/>
          <w14:ligatures w14:val="standardContextual"/>
        </w:rPr>
        <w:t>k</w:t>
      </w:r>
      <w:r w:rsidRPr="00C43543">
        <w:rPr>
          <w:szCs w:val="28"/>
          <w14:ligatures w14:val="standardContextual"/>
        </w:rPr>
        <w:t>s nothing like th</w:t>
      </w:r>
      <w:r w:rsidR="00110D97">
        <w:rPr>
          <w:szCs w:val="28"/>
          <w14:ligatures w14:val="standardContextual"/>
        </w:rPr>
        <w:t>e</w:t>
      </w:r>
      <w:r w:rsidRPr="00C43543">
        <w:rPr>
          <w:szCs w:val="28"/>
          <w14:ligatures w14:val="standardContextual"/>
        </w:rPr>
        <w:t xml:space="preserve">se “rare” choice-of-law directives. Restatement (Second) of Conflict of Laws § 6, </w:t>
      </w:r>
      <w:proofErr w:type="spellStart"/>
      <w:r w:rsidRPr="00C43543">
        <w:rPr>
          <w:szCs w:val="28"/>
          <w14:ligatures w14:val="standardContextual"/>
        </w:rPr>
        <w:t>cmt</w:t>
      </w:r>
      <w:proofErr w:type="spellEnd"/>
      <w:r w:rsidRPr="00C43543">
        <w:rPr>
          <w:szCs w:val="28"/>
          <w14:ligatures w14:val="standardContextual"/>
        </w:rPr>
        <w:t>. a.</w:t>
      </w:r>
      <w:r w:rsidR="00165F5A" w:rsidRPr="00C43543">
        <w:rPr>
          <w:szCs w:val="28"/>
          <w14:ligatures w14:val="standardContextual"/>
        </w:rPr>
        <w:fldChar w:fldCharType="begin"/>
      </w:r>
      <w:r w:rsidR="00165F5A" w:rsidRPr="00C43543">
        <w:rPr>
          <w:szCs w:val="28"/>
          <w14:ligatures w14:val="standardContextual"/>
        </w:rPr>
        <w:instrText xml:space="preserve"> TA \s </w:instrText>
      </w:r>
      <w:r w:rsidR="005125C7">
        <w:rPr>
          <w:szCs w:val="28"/>
          <w14:ligatures w14:val="standardContextual"/>
        </w:rPr>
        <w:instrText>“</w:instrText>
      </w:r>
      <w:r w:rsidR="00165F5A" w:rsidRPr="00C43543">
        <w:rPr>
          <w:szCs w:val="28"/>
          <w14:ligatures w14:val="standardContextual"/>
        </w:rPr>
        <w:instrText>Restatement (Second) of Conflict of Laws § 6(1)</w:instrText>
      </w:r>
      <w:r w:rsidR="005125C7">
        <w:rPr>
          <w:szCs w:val="28"/>
          <w14:ligatures w14:val="standardContextual"/>
        </w:rPr>
        <w:instrText>”</w:instrText>
      </w:r>
      <w:r w:rsidR="00165F5A" w:rsidRPr="00C43543">
        <w:rPr>
          <w:szCs w:val="28"/>
          <w14:ligatures w14:val="standardContextual"/>
        </w:rPr>
        <w:instrText xml:space="preserve"> </w:instrText>
      </w:r>
      <w:r w:rsidR="00165F5A" w:rsidRPr="00C43543">
        <w:rPr>
          <w:szCs w:val="28"/>
          <w14:ligatures w14:val="standardContextual"/>
        </w:rPr>
        <w:fldChar w:fldCharType="end"/>
      </w:r>
      <w:r w:rsidRPr="00C43543">
        <w:rPr>
          <w:szCs w:val="28"/>
          <w14:ligatures w14:val="standardContextual"/>
        </w:rPr>
        <w:t xml:space="preserve"> Virtually every state statute uses the word “shall” to indicate a mandatory rule of law. But although that may indicate a “statutory directive,” it is not enough to indicate a directive “on choice of law.” If such generic statutory language were enough, it is “difficult to imagine a claim based on </w:t>
      </w:r>
      <w:r w:rsidRPr="00C43543">
        <w:rPr>
          <w:i/>
          <w:iCs/>
          <w:szCs w:val="28"/>
          <w14:ligatures w14:val="standardContextual"/>
        </w:rPr>
        <w:t>any</w:t>
      </w:r>
      <w:r w:rsidRPr="00C43543">
        <w:rPr>
          <w:szCs w:val="28"/>
          <w14:ligatures w14:val="standardContextual"/>
        </w:rPr>
        <w:t xml:space="preserve"> [Washington] statute that would not be viewed as a statutory directive on choice of law.” </w:t>
      </w:r>
      <w:r w:rsidRPr="00C43543">
        <w:rPr>
          <w:i/>
          <w:iCs/>
          <w:szCs w:val="28"/>
          <w14:ligatures w14:val="standardContextual"/>
        </w:rPr>
        <w:lastRenderedPageBreak/>
        <w:t>Citizens Ins.</w:t>
      </w:r>
      <w:r w:rsidR="00165F5A" w:rsidRPr="00C43543">
        <w:rPr>
          <w:i/>
          <w:iCs/>
          <w:szCs w:val="28"/>
          <w14:ligatures w14:val="standardContextual"/>
        </w:rPr>
        <w:t xml:space="preserve"> Co. of Am. v. </w:t>
      </w:r>
      <w:proofErr w:type="spellStart"/>
      <w:r w:rsidR="00165F5A" w:rsidRPr="00C43543">
        <w:rPr>
          <w:i/>
          <w:iCs/>
          <w:szCs w:val="28"/>
          <w14:ligatures w14:val="standardContextual"/>
        </w:rPr>
        <w:t>Daccach</w:t>
      </w:r>
      <w:proofErr w:type="spellEnd"/>
      <w:r w:rsidRPr="00C43543">
        <w:rPr>
          <w:szCs w:val="28"/>
          <w14:ligatures w14:val="standardContextual"/>
        </w:rPr>
        <w:t>, 217 S.W.3d</w:t>
      </w:r>
      <w:r w:rsidR="00165F5A" w:rsidRPr="00C43543">
        <w:rPr>
          <w:szCs w:val="28"/>
          <w14:ligatures w14:val="standardContextual"/>
        </w:rPr>
        <w:t xml:space="preserve"> 430,</w:t>
      </w:r>
      <w:r w:rsidRPr="00C43543">
        <w:rPr>
          <w:szCs w:val="28"/>
          <w14:ligatures w14:val="standardContextual"/>
        </w:rPr>
        <w:t xml:space="preserve"> 465</w:t>
      </w:r>
      <w:r w:rsidR="00165F5A" w:rsidRPr="00C43543">
        <w:rPr>
          <w:szCs w:val="28"/>
          <w14:ligatures w14:val="standardContextual"/>
        </w:rPr>
        <w:t xml:space="preserve"> (</w:t>
      </w:r>
      <w:r w:rsidR="007D109A" w:rsidRPr="00C43543">
        <w:rPr>
          <w:szCs w:val="28"/>
          <w14:ligatures w14:val="standardContextual"/>
        </w:rPr>
        <w:t xml:space="preserve">Tex. </w:t>
      </w:r>
      <w:r w:rsidR="00165F5A" w:rsidRPr="00C43543">
        <w:rPr>
          <w:szCs w:val="28"/>
          <w14:ligatures w14:val="standardContextual"/>
        </w:rPr>
        <w:t>2007)</w:t>
      </w:r>
      <w:r w:rsidR="00165F5A" w:rsidRPr="00C43543">
        <w:rPr>
          <w:szCs w:val="28"/>
          <w14:ligatures w14:val="standardContextual"/>
        </w:rPr>
        <w:fldChar w:fldCharType="begin"/>
      </w:r>
      <w:r w:rsidR="00165F5A" w:rsidRPr="00C43543">
        <w:rPr>
          <w:szCs w:val="28"/>
          <w14:ligatures w14:val="standardContextual"/>
        </w:rPr>
        <w:instrText xml:space="preserve"> TA \l </w:instrText>
      </w:r>
      <w:r w:rsidR="005125C7">
        <w:rPr>
          <w:szCs w:val="28"/>
          <w14:ligatures w14:val="standardContextual"/>
        </w:rPr>
        <w:instrText>“</w:instrText>
      </w:r>
      <w:r w:rsidR="00165F5A" w:rsidRPr="00C43543">
        <w:rPr>
          <w:i/>
          <w:iCs/>
          <w:szCs w:val="28"/>
          <w14:ligatures w14:val="standardContextual"/>
        </w:rPr>
        <w:instrText>Citizens Insurance Co. of America v. Daccach</w:instrText>
      </w:r>
      <w:r w:rsidR="00165F5A" w:rsidRPr="00C43543">
        <w:rPr>
          <w:szCs w:val="28"/>
          <w14:ligatures w14:val="standardContextual"/>
        </w:rPr>
        <w:instrText>,</w:instrText>
      </w:r>
      <w:r w:rsidR="00165F5A" w:rsidRPr="00C43543">
        <w:rPr>
          <w:szCs w:val="28"/>
          <w14:ligatures w14:val="standardContextual"/>
        </w:rPr>
        <w:br/>
        <w:instrText>217 S.W.3d 430 (</w:instrText>
      </w:r>
      <w:r w:rsidR="00171443" w:rsidRPr="00C43543">
        <w:rPr>
          <w:szCs w:val="28"/>
          <w14:ligatures w14:val="standardContextual"/>
        </w:rPr>
        <w:instrText xml:space="preserve">Tex. </w:instrText>
      </w:r>
      <w:r w:rsidR="00165F5A" w:rsidRPr="00C43543">
        <w:rPr>
          <w:szCs w:val="28"/>
          <w14:ligatures w14:val="standardContextual"/>
        </w:rPr>
        <w:instrText>2007)</w:instrText>
      </w:r>
      <w:r w:rsidR="005125C7">
        <w:rPr>
          <w:szCs w:val="28"/>
          <w14:ligatures w14:val="standardContextual"/>
        </w:rPr>
        <w:instrText>”</w:instrText>
      </w:r>
      <w:r w:rsidR="00165F5A" w:rsidRPr="00C43543">
        <w:rPr>
          <w:szCs w:val="28"/>
          <w14:ligatures w14:val="standardContextual"/>
        </w:rPr>
        <w:instrText xml:space="preserve"> \s </w:instrText>
      </w:r>
      <w:r w:rsidR="005125C7">
        <w:rPr>
          <w:szCs w:val="28"/>
          <w14:ligatures w14:val="standardContextual"/>
        </w:rPr>
        <w:instrText>“</w:instrText>
      </w:r>
      <w:r w:rsidR="00165F5A" w:rsidRPr="00C43543">
        <w:rPr>
          <w:szCs w:val="28"/>
          <w14:ligatures w14:val="standardContextual"/>
        </w:rPr>
        <w:instrText>Citizens Ins., 217 S.W.3d 430</w:instrText>
      </w:r>
      <w:r w:rsidR="005125C7">
        <w:rPr>
          <w:szCs w:val="28"/>
          <w14:ligatures w14:val="standardContextual"/>
        </w:rPr>
        <w:instrText>”</w:instrText>
      </w:r>
      <w:r w:rsidR="00165F5A" w:rsidRPr="00C43543">
        <w:rPr>
          <w:szCs w:val="28"/>
          <w14:ligatures w14:val="standardContextual"/>
        </w:rPr>
        <w:instrText xml:space="preserve"> \c 1 </w:instrText>
      </w:r>
      <w:r w:rsidR="00165F5A" w:rsidRPr="00C43543">
        <w:rPr>
          <w:szCs w:val="28"/>
          <w14:ligatures w14:val="standardContextual"/>
        </w:rPr>
        <w:fldChar w:fldCharType="end"/>
      </w:r>
      <w:r w:rsidRPr="00C43543">
        <w:rPr>
          <w:szCs w:val="28"/>
          <w14:ligatures w14:val="standardContextual"/>
        </w:rPr>
        <w:t xml:space="preserve"> (Jefferson, J., concurring).</w:t>
      </w:r>
      <w:r w:rsidR="00D613B7" w:rsidRPr="00C43543">
        <w:rPr>
          <w:rStyle w:val="FootnoteReference"/>
          <w:szCs w:val="28"/>
          <w14:ligatures w14:val="standardContextual"/>
        </w:rPr>
        <w:t xml:space="preserve"> </w:t>
      </w:r>
      <w:r w:rsidR="00D613B7" w:rsidRPr="00C43543">
        <w:rPr>
          <w:rStyle w:val="FootnoteReference"/>
          <w:szCs w:val="28"/>
          <w14:ligatures w14:val="standardContextual"/>
        </w:rPr>
        <w:footnoteReference w:id="8"/>
      </w:r>
    </w:p>
    <w:p w14:paraId="0A6766FB" w14:textId="1347CC05" w:rsidR="00DF4DD8" w:rsidRPr="00C43543" w:rsidRDefault="00DF4DD8" w:rsidP="00DF4DD8">
      <w:pPr>
        <w:pStyle w:val="BodyText"/>
        <w:rPr>
          <w:szCs w:val="28"/>
          <w14:ligatures w14:val="standardContextual"/>
        </w:rPr>
      </w:pPr>
      <w:r w:rsidRPr="00C43543">
        <w:rPr>
          <w:i/>
          <w:iCs/>
          <w:szCs w:val="28"/>
          <w14:ligatures w14:val="standardContextual"/>
        </w:rPr>
        <w:t>Marriage of Abel</w:t>
      </w:r>
      <w:r w:rsidRPr="00C43543">
        <w:rPr>
          <w:szCs w:val="28"/>
          <w14:ligatures w14:val="standardContextual"/>
        </w:rPr>
        <w:t xml:space="preserve">, on which Monsanto relies, does not reflect a different approach. </w:t>
      </w:r>
      <w:r w:rsidR="009458CA" w:rsidRPr="00C43543">
        <w:rPr>
          <w:szCs w:val="28"/>
          <w14:ligatures w14:val="standardContextual"/>
        </w:rPr>
        <w:t xml:space="preserve">76 </w:t>
      </w:r>
      <w:proofErr w:type="spellStart"/>
      <w:r w:rsidR="009458CA" w:rsidRPr="00C43543">
        <w:rPr>
          <w:szCs w:val="28"/>
          <w14:ligatures w14:val="standardContextual"/>
        </w:rPr>
        <w:t>Wn</w:t>
      </w:r>
      <w:proofErr w:type="spellEnd"/>
      <w:r w:rsidR="009458CA" w:rsidRPr="00C43543">
        <w:rPr>
          <w:szCs w:val="28"/>
          <w14:ligatures w14:val="standardContextual"/>
        </w:rPr>
        <w:t>. App. 536, 539-40, 886 P.2d 1139 (1995</w:t>
      </w:r>
      <w:r w:rsidRPr="00C43543">
        <w:rPr>
          <w:szCs w:val="28"/>
          <w14:ligatures w14:val="standardContextual"/>
        </w:rPr>
        <w:t>)</w:t>
      </w:r>
      <w:r w:rsidR="00CC3236" w:rsidRPr="00C43543">
        <w:rPr>
          <w:szCs w:val="28"/>
          <w14:ligatures w14:val="standardContextual"/>
        </w:rPr>
        <w:fldChar w:fldCharType="begin"/>
      </w:r>
      <w:r w:rsidR="00CC3236" w:rsidRPr="00C43543">
        <w:rPr>
          <w:szCs w:val="28"/>
          <w14:ligatures w14:val="standardContextual"/>
        </w:rPr>
        <w:instrText xml:space="preserve"> TA \l </w:instrText>
      </w:r>
      <w:r w:rsidR="005125C7">
        <w:rPr>
          <w:szCs w:val="28"/>
          <w14:ligatures w14:val="standardContextual"/>
        </w:rPr>
        <w:instrText>“</w:instrText>
      </w:r>
      <w:r w:rsidR="00CC3236" w:rsidRPr="00C43543">
        <w:rPr>
          <w:i/>
          <w:iCs/>
          <w:szCs w:val="28"/>
          <w14:ligatures w14:val="standardContextual"/>
        </w:rPr>
        <w:instrText xml:space="preserve">Marriage of </w:instrText>
      </w:r>
      <w:r w:rsidR="00CC3236" w:rsidRPr="00C43543">
        <w:rPr>
          <w:szCs w:val="28"/>
          <w14:ligatures w14:val="standardContextual"/>
        </w:rPr>
        <w:instrText>Abel,</w:instrText>
      </w:r>
      <w:r w:rsidR="00CC3236" w:rsidRPr="00C43543">
        <w:rPr>
          <w:szCs w:val="28"/>
          <w14:ligatures w14:val="standardContextual"/>
        </w:rPr>
        <w:br/>
        <w:instrText>76 Wn. App. 536 886 P.2d 1139 (1995)</w:instrText>
      </w:r>
      <w:r w:rsidR="005125C7">
        <w:rPr>
          <w:szCs w:val="28"/>
          <w14:ligatures w14:val="standardContextual"/>
        </w:rPr>
        <w:instrText>”</w:instrText>
      </w:r>
      <w:r w:rsidR="00CC3236" w:rsidRPr="00C43543">
        <w:rPr>
          <w:szCs w:val="28"/>
          <w14:ligatures w14:val="standardContextual"/>
        </w:rPr>
        <w:instrText xml:space="preserve"> \s </w:instrText>
      </w:r>
      <w:r w:rsidR="005125C7">
        <w:rPr>
          <w:szCs w:val="28"/>
          <w14:ligatures w14:val="standardContextual"/>
        </w:rPr>
        <w:instrText>“</w:instrText>
      </w:r>
      <w:r w:rsidR="00CC3236" w:rsidRPr="00C43543">
        <w:rPr>
          <w:szCs w:val="28"/>
          <w14:ligatures w14:val="standardContextual"/>
        </w:rPr>
        <w:instrText>Marriage of Abel, 76 Wn. App. 536</w:instrText>
      </w:r>
      <w:r w:rsidR="005125C7">
        <w:rPr>
          <w:szCs w:val="28"/>
          <w14:ligatures w14:val="standardContextual"/>
        </w:rPr>
        <w:instrText>”</w:instrText>
      </w:r>
      <w:r w:rsidR="00CC3236" w:rsidRPr="00C43543">
        <w:rPr>
          <w:szCs w:val="28"/>
          <w14:ligatures w14:val="standardContextual"/>
        </w:rPr>
        <w:instrText xml:space="preserve"> \c 1 </w:instrText>
      </w:r>
      <w:r w:rsidR="00CC3236" w:rsidRPr="00C43543">
        <w:rPr>
          <w:szCs w:val="28"/>
          <w14:ligatures w14:val="standardContextual"/>
        </w:rPr>
        <w:fldChar w:fldCharType="end"/>
      </w:r>
      <w:r w:rsidRPr="00C43543">
        <w:rPr>
          <w:szCs w:val="28"/>
          <w14:ligatures w14:val="standardContextual"/>
        </w:rPr>
        <w:t xml:space="preserve">. </w:t>
      </w:r>
      <w:r w:rsidR="00A107E5" w:rsidRPr="00C43543">
        <w:rPr>
          <w:szCs w:val="28"/>
          <w14:ligatures w14:val="standardContextual"/>
        </w:rPr>
        <w:t xml:space="preserve">There, </w:t>
      </w:r>
      <w:r w:rsidRPr="00C43543">
        <w:rPr>
          <w:szCs w:val="28"/>
          <w14:ligatures w14:val="standardContextual"/>
        </w:rPr>
        <w:t xml:space="preserve">Division Three held that “the trial court erred when it used Montana law to calculate </w:t>
      </w:r>
      <w:r w:rsidR="00D613B7" w:rsidRPr="00C43543">
        <w:rPr>
          <w:szCs w:val="28"/>
          <w14:ligatures w14:val="standardContextual"/>
        </w:rPr>
        <w:t xml:space="preserve">[child] </w:t>
      </w:r>
      <w:r w:rsidRPr="00C43543">
        <w:rPr>
          <w:szCs w:val="28"/>
          <w14:ligatures w14:val="standardContextual"/>
        </w:rPr>
        <w:t xml:space="preserve">support.” </w:t>
      </w:r>
      <w:r w:rsidRPr="00C43543">
        <w:rPr>
          <w:i/>
          <w:iCs/>
          <w:szCs w:val="28"/>
          <w14:ligatures w14:val="standardContextual"/>
        </w:rPr>
        <w:t xml:space="preserve">Id. </w:t>
      </w:r>
      <w:r w:rsidRPr="00C43543">
        <w:rPr>
          <w:szCs w:val="28"/>
          <w14:ligatures w14:val="standardContextual"/>
        </w:rPr>
        <w:t>at 539.</w:t>
      </w:r>
      <w:r w:rsidR="00CC3236" w:rsidRPr="00C43543">
        <w:rPr>
          <w:szCs w:val="28"/>
          <w14:ligatures w14:val="standardContextual"/>
        </w:rPr>
        <w:fldChar w:fldCharType="begin"/>
      </w:r>
      <w:r w:rsidR="00CC3236" w:rsidRPr="00C43543">
        <w:rPr>
          <w:szCs w:val="28"/>
          <w14:ligatures w14:val="standardContextual"/>
        </w:rPr>
        <w:instrText xml:space="preserve"> TA \s </w:instrText>
      </w:r>
      <w:r w:rsidR="005125C7">
        <w:rPr>
          <w:szCs w:val="28"/>
          <w14:ligatures w14:val="standardContextual"/>
        </w:rPr>
        <w:instrText>“</w:instrText>
      </w:r>
      <w:r w:rsidR="00CC3236" w:rsidRPr="00C43543">
        <w:rPr>
          <w:szCs w:val="28"/>
          <w14:ligatures w14:val="standardContextual"/>
        </w:rPr>
        <w:instrText>Marriage of Abel, 76 Wn. App. 536</w:instrText>
      </w:r>
      <w:r w:rsidR="005125C7">
        <w:rPr>
          <w:szCs w:val="28"/>
          <w14:ligatures w14:val="standardContextual"/>
        </w:rPr>
        <w:instrText>”</w:instrText>
      </w:r>
      <w:r w:rsidR="00CC3236" w:rsidRPr="00C43543">
        <w:rPr>
          <w:szCs w:val="28"/>
          <w14:ligatures w14:val="standardContextual"/>
        </w:rPr>
        <w:instrText xml:space="preserve"> </w:instrText>
      </w:r>
      <w:r w:rsidR="00CC3236" w:rsidRPr="00C43543">
        <w:rPr>
          <w:szCs w:val="28"/>
          <w14:ligatures w14:val="standardContextual"/>
        </w:rPr>
        <w:fldChar w:fldCharType="end"/>
      </w:r>
      <w:r w:rsidRPr="00C43543">
        <w:rPr>
          <w:szCs w:val="28"/>
          <w14:ligatures w14:val="standardContextual"/>
        </w:rPr>
        <w:t xml:space="preserve"> That holding followed from the statute’s language, which required that “[t]he child support schedule” “shall be applied” “in each county of the state” and “in all proceedings in which child support is determined.” RCW 26.19.035</w:t>
      </w:r>
      <w:r w:rsidR="00CC3236" w:rsidRPr="00C43543">
        <w:rPr>
          <w:szCs w:val="28"/>
          <w14:ligatures w14:val="standardContextual"/>
        </w:rPr>
        <w:fldChar w:fldCharType="begin"/>
      </w:r>
      <w:r w:rsidR="00CC3236" w:rsidRPr="00C43543">
        <w:rPr>
          <w:szCs w:val="28"/>
          <w14:ligatures w14:val="standardContextual"/>
        </w:rPr>
        <w:instrText xml:space="preserve"> TA \l </w:instrText>
      </w:r>
      <w:r w:rsidR="005125C7">
        <w:rPr>
          <w:szCs w:val="28"/>
          <w14:ligatures w14:val="standardContextual"/>
        </w:rPr>
        <w:instrText>“</w:instrText>
      </w:r>
      <w:r w:rsidR="00CC3236" w:rsidRPr="00C43543">
        <w:rPr>
          <w:szCs w:val="28"/>
          <w14:ligatures w14:val="standardContextual"/>
        </w:rPr>
        <w:instrText>RCW 26.19.035</w:instrText>
      </w:r>
      <w:r w:rsidR="005125C7">
        <w:rPr>
          <w:szCs w:val="28"/>
          <w14:ligatures w14:val="standardContextual"/>
        </w:rPr>
        <w:instrText>”</w:instrText>
      </w:r>
      <w:r w:rsidR="00CC3236" w:rsidRPr="00C43543">
        <w:rPr>
          <w:szCs w:val="28"/>
          <w14:ligatures w14:val="standardContextual"/>
        </w:rPr>
        <w:instrText xml:space="preserve"> \s </w:instrText>
      </w:r>
      <w:r w:rsidR="005125C7">
        <w:rPr>
          <w:szCs w:val="28"/>
          <w14:ligatures w14:val="standardContextual"/>
        </w:rPr>
        <w:instrText>“</w:instrText>
      </w:r>
      <w:r w:rsidR="00CC3236" w:rsidRPr="00C43543">
        <w:rPr>
          <w:szCs w:val="28"/>
          <w14:ligatures w14:val="standardContextual"/>
        </w:rPr>
        <w:instrText>RCW 26.19.035</w:instrText>
      </w:r>
      <w:r w:rsidR="005125C7">
        <w:rPr>
          <w:szCs w:val="28"/>
          <w14:ligatures w14:val="standardContextual"/>
        </w:rPr>
        <w:instrText>”</w:instrText>
      </w:r>
      <w:r w:rsidR="00CC3236" w:rsidRPr="00C43543">
        <w:rPr>
          <w:szCs w:val="28"/>
          <w14:ligatures w14:val="standardContextual"/>
        </w:rPr>
        <w:instrText xml:space="preserve"> \c 2 </w:instrText>
      </w:r>
      <w:r w:rsidR="00CC3236" w:rsidRPr="00C43543">
        <w:rPr>
          <w:szCs w:val="28"/>
          <w14:ligatures w14:val="standardContextual"/>
        </w:rPr>
        <w:fldChar w:fldCharType="end"/>
      </w:r>
      <w:r w:rsidRPr="00C43543">
        <w:rPr>
          <w:szCs w:val="28"/>
          <w14:ligatures w14:val="standardContextual"/>
        </w:rPr>
        <w:t>. The statute didn</w:t>
      </w:r>
      <w:r w:rsidR="006720D6" w:rsidRPr="00C43543">
        <w:rPr>
          <w:szCs w:val="28"/>
          <w14:ligatures w14:val="standardContextual"/>
        </w:rPr>
        <w:t>’</w:t>
      </w:r>
      <w:r w:rsidRPr="00C43543">
        <w:rPr>
          <w:szCs w:val="28"/>
          <w14:ligatures w14:val="standardContextual"/>
        </w:rPr>
        <w:t xml:space="preserve">t use “shall” merely to establish an ordinary rule of state law. Instead, it mandated the “application” of Washington’s child-support schedule in </w:t>
      </w:r>
      <w:r w:rsidR="00C146A9" w:rsidRPr="00C43543">
        <w:rPr>
          <w:szCs w:val="28"/>
          <w14:ligatures w14:val="standardContextual"/>
        </w:rPr>
        <w:t xml:space="preserve">all </w:t>
      </w:r>
      <w:r w:rsidRPr="00C43543">
        <w:rPr>
          <w:szCs w:val="28"/>
          <w14:ligatures w14:val="standardContextual"/>
        </w:rPr>
        <w:t xml:space="preserve">proceedings. Restatement (Second) of Conflict of Law § 6, </w:t>
      </w:r>
      <w:proofErr w:type="spellStart"/>
      <w:r w:rsidRPr="00C43543">
        <w:rPr>
          <w:szCs w:val="28"/>
          <w14:ligatures w14:val="standardContextual"/>
        </w:rPr>
        <w:t>cmt</w:t>
      </w:r>
      <w:proofErr w:type="spellEnd"/>
      <w:r w:rsidRPr="00C43543">
        <w:rPr>
          <w:szCs w:val="28"/>
          <w14:ligatures w14:val="standardContextual"/>
        </w:rPr>
        <w:t>. a.</w:t>
      </w:r>
      <w:r w:rsidR="00CC3236" w:rsidRPr="00C43543">
        <w:rPr>
          <w:szCs w:val="28"/>
          <w14:ligatures w14:val="standardContextual"/>
        </w:rPr>
        <w:fldChar w:fldCharType="begin"/>
      </w:r>
      <w:r w:rsidR="00CC3236" w:rsidRPr="00C43543">
        <w:rPr>
          <w:szCs w:val="28"/>
          <w14:ligatures w14:val="standardContextual"/>
        </w:rPr>
        <w:instrText xml:space="preserve"> TA \s </w:instrText>
      </w:r>
      <w:r w:rsidR="005125C7">
        <w:rPr>
          <w:szCs w:val="28"/>
          <w14:ligatures w14:val="standardContextual"/>
        </w:rPr>
        <w:instrText>“</w:instrText>
      </w:r>
      <w:r w:rsidR="00CC3236" w:rsidRPr="00C43543">
        <w:rPr>
          <w:szCs w:val="28"/>
          <w14:ligatures w14:val="standardContextual"/>
        </w:rPr>
        <w:instrText>Restatement (Second) of Conflict of Laws § 6(1)</w:instrText>
      </w:r>
      <w:r w:rsidR="005125C7">
        <w:rPr>
          <w:szCs w:val="28"/>
          <w14:ligatures w14:val="standardContextual"/>
        </w:rPr>
        <w:instrText>”</w:instrText>
      </w:r>
      <w:r w:rsidR="00CC3236" w:rsidRPr="00C43543">
        <w:rPr>
          <w:szCs w:val="28"/>
          <w14:ligatures w14:val="standardContextual"/>
        </w:rPr>
        <w:instrText xml:space="preserve"> </w:instrText>
      </w:r>
      <w:r w:rsidR="00CC3236" w:rsidRPr="00C43543">
        <w:rPr>
          <w:szCs w:val="28"/>
          <w14:ligatures w14:val="standardContextual"/>
        </w:rPr>
        <w:fldChar w:fldCharType="end"/>
      </w:r>
      <w:r w:rsidRPr="00C43543">
        <w:rPr>
          <w:szCs w:val="28"/>
          <w14:ligatures w14:val="standardContextual"/>
        </w:rPr>
        <w:t xml:space="preserve"> </w:t>
      </w:r>
    </w:p>
    <w:p w14:paraId="0F239292" w14:textId="67E387E4" w:rsidR="00DF4DD8" w:rsidRPr="00C43543" w:rsidRDefault="00DF4DD8" w:rsidP="00DE4B15">
      <w:pPr>
        <w:pStyle w:val="BodyText"/>
        <w:rPr>
          <w:szCs w:val="28"/>
          <w14:ligatures w14:val="standardContextual"/>
        </w:rPr>
      </w:pPr>
      <w:r w:rsidRPr="00C43543">
        <w:rPr>
          <w:szCs w:val="28"/>
          <w14:ligatures w14:val="standardContextual"/>
        </w:rPr>
        <w:t xml:space="preserve">The language on which Monsanto relies, </w:t>
      </w:r>
      <w:r w:rsidR="00C146A9" w:rsidRPr="00C43543">
        <w:rPr>
          <w:szCs w:val="28"/>
          <w14:ligatures w14:val="standardContextual"/>
        </w:rPr>
        <w:t>by</w:t>
      </w:r>
      <w:r w:rsidRPr="00C43543">
        <w:rPr>
          <w:szCs w:val="28"/>
          <w14:ligatures w14:val="standardContextual"/>
        </w:rPr>
        <w:t xml:space="preserve"> contrast, merely establishes a repose period as a substantive rule of </w:t>
      </w:r>
      <w:r w:rsidRPr="00C43543">
        <w:rPr>
          <w:i/>
          <w:iCs/>
          <w:szCs w:val="28"/>
          <w14:ligatures w14:val="standardContextual"/>
        </w:rPr>
        <w:t>Washington</w:t>
      </w:r>
      <w:r w:rsidRPr="00C43543">
        <w:rPr>
          <w:szCs w:val="28"/>
          <w14:ligatures w14:val="standardContextual"/>
        </w:rPr>
        <w:t xml:space="preserve"> law, </w:t>
      </w:r>
      <w:r w:rsidRPr="00C43543">
        <w:rPr>
          <w:szCs w:val="28"/>
          <w14:ligatures w14:val="standardContextual"/>
        </w:rPr>
        <w:lastRenderedPageBreak/>
        <w:t xml:space="preserve">not the application of that law in any court. The WPLA would resemble the statute in </w:t>
      </w:r>
      <w:r w:rsidRPr="00C43543">
        <w:rPr>
          <w:i/>
          <w:iCs/>
          <w:szCs w:val="28"/>
          <w14:ligatures w14:val="standardContextual"/>
        </w:rPr>
        <w:t xml:space="preserve">Abel </w:t>
      </w:r>
      <w:r w:rsidR="005125C7">
        <w:rPr>
          <w:szCs w:val="28"/>
          <w14:ligatures w14:val="standardContextual"/>
        </w:rPr>
        <w:t xml:space="preserve">only </w:t>
      </w:r>
      <w:r w:rsidRPr="00C43543">
        <w:rPr>
          <w:szCs w:val="28"/>
          <w14:ligatures w14:val="standardContextual"/>
        </w:rPr>
        <w:t>if it directed that the period of repose “shall apply in all proceedings in Washington courts.” The WPLA does no such thing</w:t>
      </w:r>
      <w:r w:rsidR="00DE4B15" w:rsidRPr="00C43543">
        <w:rPr>
          <w:szCs w:val="28"/>
          <w14:ligatures w14:val="standardContextual"/>
        </w:rPr>
        <w:t>.</w:t>
      </w:r>
      <w:r w:rsidR="00D613B7" w:rsidRPr="00C43543">
        <w:rPr>
          <w:rStyle w:val="FootnoteReference"/>
          <w:szCs w:val="28"/>
          <w14:ligatures w14:val="standardContextual"/>
        </w:rPr>
        <w:footnoteReference w:id="9"/>
      </w:r>
      <w:r w:rsidR="00DE4B15" w:rsidRPr="00C43543">
        <w:rPr>
          <w:szCs w:val="28"/>
          <w14:ligatures w14:val="standardContextual"/>
        </w:rPr>
        <w:t xml:space="preserve"> </w:t>
      </w:r>
    </w:p>
    <w:p w14:paraId="62BAA6E8" w14:textId="61708819" w:rsidR="00DF4DD8" w:rsidRPr="00C43543" w:rsidRDefault="00D613B7" w:rsidP="00DF4DD8">
      <w:pPr>
        <w:pStyle w:val="BodyText"/>
        <w:rPr>
          <w:szCs w:val="28"/>
          <w14:ligatures w14:val="standardContextual"/>
        </w:rPr>
      </w:pPr>
      <w:r w:rsidRPr="00C43543">
        <w:rPr>
          <w:szCs w:val="28"/>
          <w14:ligatures w14:val="standardContextual"/>
        </w:rPr>
        <w:t>Finally</w:t>
      </w:r>
      <w:r w:rsidR="00DF4DD8" w:rsidRPr="00C43543">
        <w:rPr>
          <w:szCs w:val="28"/>
          <w14:ligatures w14:val="standardContextual"/>
        </w:rPr>
        <w:t xml:space="preserve">, Monsanto’s contrary claim can’t be reconciled with </w:t>
      </w:r>
      <w:r w:rsidR="00DF4DD8" w:rsidRPr="00C43543">
        <w:rPr>
          <w:i/>
          <w:iCs/>
          <w:szCs w:val="28"/>
          <w14:ligatures w14:val="standardContextual"/>
        </w:rPr>
        <w:t>Zenaida-Garcia</w:t>
      </w:r>
      <w:r w:rsidR="00DF4DD8" w:rsidRPr="00C43543">
        <w:rPr>
          <w:szCs w:val="28"/>
          <w14:ligatures w14:val="standardContextual"/>
        </w:rPr>
        <w:t>, which applied choice-of-law analysis to decide which statute of repose governed WPLA claims. If Monsanto were correct that the WPLA mandates application of Washington’s repose period, that analysis would have been unnecessary.</w:t>
      </w:r>
      <w:r w:rsidRPr="00C43543">
        <w:rPr>
          <w:rStyle w:val="FootnoteReference"/>
          <w:szCs w:val="28"/>
          <w14:ligatures w14:val="standardContextual"/>
        </w:rPr>
        <w:footnoteReference w:id="10"/>
      </w:r>
    </w:p>
    <w:p w14:paraId="2DA1F124" w14:textId="5BC22301" w:rsidR="00DF4DD8" w:rsidRPr="00C43543" w:rsidRDefault="00DF4DD8" w:rsidP="00DF4DD8">
      <w:pPr>
        <w:pStyle w:val="BodyText"/>
        <w:rPr>
          <w:szCs w:val="28"/>
          <w14:ligatures w14:val="standardContextual"/>
        </w:rPr>
      </w:pPr>
      <w:r w:rsidRPr="00C43543">
        <w:rPr>
          <w:b/>
          <w:bCs/>
          <w:i/>
          <w:iCs/>
          <w:szCs w:val="28"/>
          <w14:ligatures w14:val="standardContextual"/>
        </w:rPr>
        <w:lastRenderedPageBreak/>
        <w:t xml:space="preserve">4. </w:t>
      </w:r>
      <w:r w:rsidR="00DE0850" w:rsidRPr="00C43543">
        <w:rPr>
          <w:b/>
          <w:bCs/>
          <w:i/>
          <w:iCs/>
          <w:szCs w:val="28"/>
          <w14:ligatures w14:val="standardContextual"/>
        </w:rPr>
        <w:t xml:space="preserve">Dormant Commerce Clause. </w:t>
      </w:r>
      <w:r w:rsidRPr="00C43543">
        <w:rPr>
          <w:szCs w:val="28"/>
          <w14:ligatures w14:val="standardContextual"/>
        </w:rPr>
        <w:t>In the alternative,</w:t>
      </w:r>
      <w:r w:rsidRPr="00C43543">
        <w:rPr>
          <w:b/>
          <w:bCs/>
          <w:szCs w:val="28"/>
          <w14:ligatures w14:val="standardContextual"/>
        </w:rPr>
        <w:t xml:space="preserve"> </w:t>
      </w:r>
      <w:r w:rsidRPr="00C43543">
        <w:rPr>
          <w:szCs w:val="28"/>
          <w14:ligatures w14:val="standardContextual"/>
        </w:rPr>
        <w:t>Monsanto argues that application of Washington’s choice-of-law rules would violate the dormant Commerce Clause. The “need for interstate harmony consistent with the Commerce Clause,” it argues (at 42), “requires applying the WPLA’s statute of repose to resident and non-resident defendants alike.”</w:t>
      </w:r>
    </w:p>
    <w:p w14:paraId="38ACCA45" w14:textId="6AD1BD52" w:rsidR="00DF4DD8" w:rsidRPr="00C43543" w:rsidRDefault="00DF4DD8" w:rsidP="00DF4DD8">
      <w:pPr>
        <w:pStyle w:val="BodyText"/>
        <w:rPr>
          <w:szCs w:val="28"/>
          <w14:ligatures w14:val="standardContextual"/>
        </w:rPr>
      </w:pPr>
      <w:r w:rsidRPr="00C43543">
        <w:rPr>
          <w:szCs w:val="28"/>
          <w14:ligatures w14:val="standardContextual"/>
        </w:rPr>
        <w:t>But Monsanto didn</w:t>
      </w:r>
      <w:r w:rsidR="006720D6" w:rsidRPr="00C43543">
        <w:rPr>
          <w:szCs w:val="28"/>
          <w14:ligatures w14:val="standardContextual"/>
        </w:rPr>
        <w:t>’</w:t>
      </w:r>
      <w:r w:rsidRPr="00C43543">
        <w:rPr>
          <w:szCs w:val="28"/>
          <w14:ligatures w14:val="standardContextual"/>
        </w:rPr>
        <w:t>t preserve t</w:t>
      </w:r>
      <w:r w:rsidR="00617BA8" w:rsidRPr="00C43543">
        <w:rPr>
          <w:szCs w:val="28"/>
          <w14:ligatures w14:val="standardContextual"/>
        </w:rPr>
        <w:t>his</w:t>
      </w:r>
      <w:r w:rsidRPr="00C43543">
        <w:rPr>
          <w:szCs w:val="28"/>
          <w14:ligatures w14:val="standardContextual"/>
        </w:rPr>
        <w:t xml:space="preserve"> argument below. It addressed the Constitution only in a footnote, asserting—without argument or authority—that application of Missouri law “would violate, among other things, the equal protection and due process clauses of Washington’s and United States’ Constitutions, as well as the Privileges and Immunities Clause of the United States Constitution.” </w:t>
      </w:r>
      <w:r w:rsidR="00B625F0" w:rsidRPr="00C43543">
        <w:rPr>
          <w:szCs w:val="28"/>
          <w14:ligatures w14:val="standardContextual"/>
        </w:rPr>
        <w:t>CP17082</w:t>
      </w:r>
      <w:r w:rsidRPr="00C43543">
        <w:rPr>
          <w:szCs w:val="28"/>
          <w14:ligatures w14:val="standardContextual"/>
        </w:rPr>
        <w:t xml:space="preserve">. Monsanto never mentioned the dormant Commerce Clause, much less developed that argument sufficiently to preserve it. </w:t>
      </w:r>
      <w:r w:rsidRPr="00C43543">
        <w:rPr>
          <w:i/>
          <w:iCs/>
          <w:szCs w:val="28"/>
          <w14:ligatures w14:val="standardContextual"/>
        </w:rPr>
        <w:t>See</w:t>
      </w:r>
      <w:r w:rsidRPr="00C43543">
        <w:rPr>
          <w:szCs w:val="28"/>
          <w14:ligatures w14:val="standardContextual"/>
        </w:rPr>
        <w:t xml:space="preserve"> </w:t>
      </w:r>
      <w:proofErr w:type="spellStart"/>
      <w:r w:rsidR="009458CA" w:rsidRPr="00C43543">
        <w:rPr>
          <w:i/>
          <w:iCs/>
          <w:szCs w:val="28"/>
          <w14:ligatures w14:val="standardContextual"/>
        </w:rPr>
        <w:t>Desranleau</w:t>
      </w:r>
      <w:proofErr w:type="spellEnd"/>
      <w:r w:rsidR="009458CA" w:rsidRPr="00C43543">
        <w:rPr>
          <w:i/>
          <w:iCs/>
          <w:szCs w:val="28"/>
          <w14:ligatures w14:val="standardContextual"/>
        </w:rPr>
        <w:t xml:space="preserve"> v. Hyland’s, Inc.</w:t>
      </w:r>
      <w:r w:rsidR="009458CA" w:rsidRPr="00C43543">
        <w:rPr>
          <w:szCs w:val="28"/>
          <w14:ligatures w14:val="standardContextual"/>
        </w:rPr>
        <w:t xml:space="preserve">, 10 </w:t>
      </w:r>
      <w:proofErr w:type="spellStart"/>
      <w:r w:rsidR="009458CA" w:rsidRPr="00C43543">
        <w:rPr>
          <w:szCs w:val="28"/>
          <w14:ligatures w14:val="standardContextual"/>
        </w:rPr>
        <w:t>Wn</w:t>
      </w:r>
      <w:proofErr w:type="spellEnd"/>
      <w:r w:rsidR="009458CA" w:rsidRPr="00C43543">
        <w:rPr>
          <w:szCs w:val="28"/>
          <w14:ligatures w14:val="standardContextual"/>
        </w:rPr>
        <w:t>. App. 2d 837, 848, 450 P.3d 1203 (2019)</w:t>
      </w:r>
      <w:r w:rsidR="00CC3236" w:rsidRPr="00C43543">
        <w:rPr>
          <w:szCs w:val="28"/>
          <w14:ligatures w14:val="standardContextual"/>
        </w:rPr>
        <w:fldChar w:fldCharType="begin"/>
      </w:r>
      <w:r w:rsidR="00CC3236" w:rsidRPr="00C43543">
        <w:rPr>
          <w:szCs w:val="28"/>
          <w14:ligatures w14:val="standardContextual"/>
        </w:rPr>
        <w:instrText xml:space="preserve"> TA \l "</w:instrText>
      </w:r>
      <w:r w:rsidR="00CC3236" w:rsidRPr="00C43543">
        <w:rPr>
          <w:i/>
          <w:iCs/>
          <w:szCs w:val="28"/>
          <w14:ligatures w14:val="standardContextual"/>
        </w:rPr>
        <w:instrText>Desranleau v. Hyland’s, Inc.</w:instrText>
      </w:r>
      <w:r w:rsidR="00CC3236" w:rsidRPr="00C43543">
        <w:rPr>
          <w:szCs w:val="28"/>
          <w14:ligatures w14:val="standardContextual"/>
        </w:rPr>
        <w:instrText>,</w:instrText>
      </w:r>
      <w:r w:rsidR="00CC3236" w:rsidRPr="00C43543">
        <w:rPr>
          <w:szCs w:val="28"/>
          <w14:ligatures w14:val="standardContextual"/>
        </w:rPr>
        <w:br/>
        <w:instrText xml:space="preserve">10 Wn. App. 2d 837, 450 P.3d 1203 (2019)" \s "Desranleau v. Hyland’s, 10 Wn. App. 2d 837" \c 1 </w:instrText>
      </w:r>
      <w:r w:rsidR="00CC3236" w:rsidRPr="00C43543">
        <w:rPr>
          <w:szCs w:val="28"/>
          <w14:ligatures w14:val="standardContextual"/>
        </w:rPr>
        <w:fldChar w:fldCharType="end"/>
      </w:r>
      <w:r w:rsidRPr="00C43543">
        <w:rPr>
          <w:szCs w:val="28"/>
          <w14:ligatures w14:val="standardContextual"/>
        </w:rPr>
        <w:t>.</w:t>
      </w:r>
    </w:p>
    <w:p w14:paraId="57D88AE3" w14:textId="118BD36B" w:rsidR="00DF4DD8" w:rsidRPr="00C43543" w:rsidRDefault="00DF4DD8" w:rsidP="00DF4DD8">
      <w:pPr>
        <w:pStyle w:val="BodyText"/>
        <w:rPr>
          <w:szCs w:val="28"/>
          <w14:ligatures w14:val="standardContextual"/>
        </w:rPr>
      </w:pPr>
      <w:r w:rsidRPr="00C43543">
        <w:rPr>
          <w:szCs w:val="28"/>
          <w14:ligatures w14:val="standardContextual"/>
        </w:rPr>
        <w:t xml:space="preserve">And it does little better on appeal. It cites no decision that has ever held that a court’s choice of law can violate the dormant Commerce Clause, much less that a state unconstitutionally discriminates against an out-of-state resident by applying the law of </w:t>
      </w:r>
      <w:r w:rsidRPr="00C43543">
        <w:rPr>
          <w:szCs w:val="28"/>
          <w14:ligatures w14:val="standardContextual"/>
        </w:rPr>
        <w:lastRenderedPageBreak/>
        <w:t xml:space="preserve">its own state to that resident. That isn’t surprising. The doctrine of </w:t>
      </w:r>
      <w:proofErr w:type="spellStart"/>
      <w:r w:rsidRPr="00C43543">
        <w:rPr>
          <w:szCs w:val="28"/>
          <w14:ligatures w14:val="standardContextual"/>
        </w:rPr>
        <w:t>depecage</w:t>
      </w:r>
      <w:proofErr w:type="spellEnd"/>
      <w:r w:rsidRPr="00C43543">
        <w:rPr>
          <w:szCs w:val="28"/>
          <w14:ligatures w14:val="standardContextual"/>
        </w:rPr>
        <w:t xml:space="preserve"> is rooted in the same principles of federalism and state sovereignty that the dormant Commerce Clause protects. </w:t>
      </w:r>
      <w:r w:rsidRPr="00C43543">
        <w:rPr>
          <w:i/>
          <w:iCs/>
          <w:szCs w:val="28"/>
          <w14:ligatures w14:val="standardContextual"/>
        </w:rPr>
        <w:t xml:space="preserve">See </w:t>
      </w:r>
      <w:r w:rsidRPr="00C43543">
        <w:rPr>
          <w:szCs w:val="28"/>
          <w14:ligatures w14:val="standardContextual"/>
        </w:rPr>
        <w:t xml:space="preserve">Stevenson, </w:t>
      </w:r>
      <w:proofErr w:type="spellStart"/>
      <w:r w:rsidRPr="00C43543">
        <w:rPr>
          <w:i/>
          <w:iCs/>
          <w:szCs w:val="28"/>
          <w14:ligatures w14:val="standardContextual"/>
        </w:rPr>
        <w:t>Depecage</w:t>
      </w:r>
      <w:proofErr w:type="spellEnd"/>
      <w:r w:rsidRPr="00C43543">
        <w:rPr>
          <w:i/>
          <w:iCs/>
          <w:szCs w:val="28"/>
          <w14:ligatures w14:val="standardContextual"/>
        </w:rPr>
        <w:t>: Embracing Complexity to Solve Choice-of-Law Issues</w:t>
      </w:r>
      <w:r w:rsidRPr="00C43543">
        <w:rPr>
          <w:szCs w:val="28"/>
          <w14:ligatures w14:val="standardContextual"/>
        </w:rPr>
        <w:t>, 37 Ind. L. Rev. 303, 309-10 (2003)</w:t>
      </w:r>
      <w:r w:rsidR="00CC3236" w:rsidRPr="00C43543">
        <w:rPr>
          <w:szCs w:val="28"/>
          <w14:ligatures w14:val="standardContextual"/>
        </w:rPr>
        <w:fldChar w:fldCharType="begin"/>
      </w:r>
      <w:r w:rsidR="00CC3236" w:rsidRPr="00C43543">
        <w:rPr>
          <w:szCs w:val="28"/>
          <w14:ligatures w14:val="standardContextual"/>
        </w:rPr>
        <w:instrText xml:space="preserve"> TA \l "Stevenson, </w:instrText>
      </w:r>
      <w:r w:rsidR="00CC3236" w:rsidRPr="00C43543">
        <w:rPr>
          <w:i/>
          <w:iCs/>
          <w:szCs w:val="28"/>
          <w14:ligatures w14:val="standardContextual"/>
        </w:rPr>
        <w:instrText>Depecage: Embracing Complexity to Solve Choice-of-Law Issues</w:instrText>
      </w:r>
      <w:r w:rsidR="00CC3236" w:rsidRPr="00C43543">
        <w:rPr>
          <w:szCs w:val="28"/>
          <w14:ligatures w14:val="standardContextual"/>
        </w:rPr>
        <w:instrText xml:space="preserve">, 37 Ind. L. Rev. 303 (2003)" \s "Stevenson, Depecage: Embracing Complexity to Solve Choice-of-Law Issues, 37 Ind. L. Rev. 303, 309-10 (2003)" \c 3 </w:instrText>
      </w:r>
      <w:r w:rsidR="00CC3236" w:rsidRPr="00C43543">
        <w:rPr>
          <w:szCs w:val="28"/>
          <w14:ligatures w14:val="standardContextual"/>
        </w:rPr>
        <w:fldChar w:fldCharType="end"/>
      </w:r>
      <w:r w:rsidRPr="00C43543">
        <w:rPr>
          <w:szCs w:val="28"/>
          <w14:ligatures w14:val="standardContextual"/>
        </w:rPr>
        <w:t>.</w:t>
      </w:r>
    </w:p>
    <w:p w14:paraId="29550DCB" w14:textId="62A285D1" w:rsidR="00DF4DD8" w:rsidRPr="00C43543" w:rsidRDefault="00DF4DD8" w:rsidP="00DF4DD8">
      <w:pPr>
        <w:pStyle w:val="BodyText"/>
        <w:rPr>
          <w:szCs w:val="28"/>
          <w14:ligatures w14:val="standardContextual"/>
        </w:rPr>
      </w:pPr>
      <w:r w:rsidRPr="00C43543">
        <w:rPr>
          <w:szCs w:val="28"/>
          <w14:ligatures w14:val="standardContextual"/>
        </w:rPr>
        <w:t xml:space="preserve">To avoid “infringing on the policy choices of other States,” a state’s limit on remedies “must be supported by the State’s interest in protecting its own consumers and its own economy.” </w:t>
      </w:r>
      <w:r w:rsidRPr="00C43543">
        <w:rPr>
          <w:i/>
          <w:iCs/>
          <w:szCs w:val="28"/>
          <w14:ligatures w14:val="standardContextual"/>
        </w:rPr>
        <w:t xml:space="preserve">BMW of </w:t>
      </w:r>
      <w:r w:rsidR="00851FE5" w:rsidRPr="00C43543">
        <w:rPr>
          <w:i/>
          <w:iCs/>
          <w:szCs w:val="28"/>
          <w14:ligatures w14:val="standardContextual"/>
        </w:rPr>
        <w:t>N. Am., Inc. v. Gore</w:t>
      </w:r>
      <w:r w:rsidR="00851FE5" w:rsidRPr="00C43543">
        <w:rPr>
          <w:szCs w:val="28"/>
          <w14:ligatures w14:val="standardContextual"/>
        </w:rPr>
        <w:t xml:space="preserve">, 517 </w:t>
      </w:r>
      <w:r w:rsidRPr="00C43543">
        <w:rPr>
          <w:szCs w:val="28"/>
          <w14:ligatures w14:val="standardContextual"/>
        </w:rPr>
        <w:t>U.S. 559, 572 (1996)</w:t>
      </w:r>
      <w:r w:rsidR="00CC3236" w:rsidRPr="00C43543">
        <w:rPr>
          <w:szCs w:val="28"/>
          <w14:ligatures w14:val="standardContextual"/>
        </w:rPr>
        <w:fldChar w:fldCharType="begin"/>
      </w:r>
      <w:r w:rsidR="00CC3236" w:rsidRPr="00C43543">
        <w:rPr>
          <w:szCs w:val="28"/>
          <w14:ligatures w14:val="standardContextual"/>
        </w:rPr>
        <w:instrText xml:space="preserve"> TA \s "BMW v. Gore, 517 U.S. 559" </w:instrText>
      </w:r>
      <w:r w:rsidR="00CC3236" w:rsidRPr="00C43543">
        <w:rPr>
          <w:szCs w:val="28"/>
          <w14:ligatures w14:val="standardContextual"/>
        </w:rPr>
        <w:fldChar w:fldCharType="end"/>
      </w:r>
      <w:r w:rsidRPr="00C43543">
        <w:rPr>
          <w:szCs w:val="28"/>
          <w14:ligatures w14:val="standardContextual"/>
        </w:rPr>
        <w:t xml:space="preserve">. By examining those interests when choosing </w:t>
      </w:r>
      <w:r w:rsidR="00CA2BA8" w:rsidRPr="00C43543">
        <w:rPr>
          <w:szCs w:val="28"/>
          <w14:ligatures w14:val="standardContextual"/>
        </w:rPr>
        <w:t>what</w:t>
      </w:r>
      <w:r w:rsidRPr="00C43543">
        <w:rPr>
          <w:szCs w:val="28"/>
          <w14:ligatures w14:val="standardContextual"/>
        </w:rPr>
        <w:t xml:space="preserve"> law to apply, </w:t>
      </w:r>
      <w:proofErr w:type="spellStart"/>
      <w:r w:rsidRPr="00C43543">
        <w:rPr>
          <w:szCs w:val="28"/>
          <w14:ligatures w14:val="standardContextual"/>
        </w:rPr>
        <w:t>depecage</w:t>
      </w:r>
      <w:proofErr w:type="spellEnd"/>
      <w:r w:rsidRPr="00C43543">
        <w:rPr>
          <w:szCs w:val="28"/>
          <w14:ligatures w14:val="standardContextual"/>
        </w:rPr>
        <w:t xml:space="preserve"> safeguards the right of states to develop and enforce their own laws, while preventing states from regulating beyond their own borders. Far from interfering with interstate commerce, the doctrine ensures that choice-of-law decisions “further harmonious relations between states” and “facilitate commercial intercourse between them.” Restatement (Second) of Conflict of Laws § 6, </w:t>
      </w:r>
      <w:proofErr w:type="spellStart"/>
      <w:r w:rsidRPr="00C43543">
        <w:rPr>
          <w:szCs w:val="28"/>
          <w14:ligatures w14:val="standardContextual"/>
        </w:rPr>
        <w:t>cmt</w:t>
      </w:r>
      <w:proofErr w:type="spellEnd"/>
      <w:r w:rsidRPr="00C43543">
        <w:rPr>
          <w:szCs w:val="28"/>
          <w14:ligatures w14:val="standardContextual"/>
        </w:rPr>
        <w:t>. d</w:t>
      </w:r>
      <w:r w:rsidR="00CC3236" w:rsidRPr="00C43543">
        <w:rPr>
          <w:szCs w:val="28"/>
          <w14:ligatures w14:val="standardContextual"/>
        </w:rPr>
        <w:fldChar w:fldCharType="begin"/>
      </w:r>
      <w:r w:rsidR="00CC3236" w:rsidRPr="00C43543">
        <w:rPr>
          <w:szCs w:val="28"/>
          <w14:ligatures w14:val="standardContextual"/>
        </w:rPr>
        <w:instrText xml:space="preserve"> TA \s "Restatement (Second) of Conflict of Laws § 6(1)" </w:instrText>
      </w:r>
      <w:r w:rsidR="00CC3236"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 xml:space="preserve">see Seizer v. </w:t>
      </w:r>
      <w:r w:rsidR="00851FE5" w:rsidRPr="00C43543">
        <w:rPr>
          <w:i/>
          <w:iCs/>
          <w:szCs w:val="28"/>
          <w14:ligatures w14:val="standardContextual"/>
        </w:rPr>
        <w:t>Sessions</w:t>
      </w:r>
      <w:r w:rsidR="00851FE5" w:rsidRPr="00C43543">
        <w:rPr>
          <w:szCs w:val="28"/>
          <w14:ligatures w14:val="standardContextual"/>
        </w:rPr>
        <w:t>, 132 Wn.2d 642, 652, 940 P.2d 261 (1997)</w:t>
      </w:r>
      <w:r w:rsidR="00CC3236" w:rsidRPr="00C43543">
        <w:rPr>
          <w:szCs w:val="28"/>
          <w14:ligatures w14:val="standardContextual"/>
        </w:rPr>
        <w:fldChar w:fldCharType="begin"/>
      </w:r>
      <w:r w:rsidR="00CC3236" w:rsidRPr="00C43543">
        <w:rPr>
          <w:szCs w:val="28"/>
          <w14:ligatures w14:val="standardContextual"/>
        </w:rPr>
        <w:instrText xml:space="preserve"> TA \l "</w:instrText>
      </w:r>
      <w:r w:rsidR="00CC3236" w:rsidRPr="00C43543">
        <w:rPr>
          <w:i/>
          <w:iCs/>
          <w:szCs w:val="28"/>
          <w14:ligatures w14:val="standardContextual"/>
        </w:rPr>
        <w:instrText>Seizer v. Sessions</w:instrText>
      </w:r>
      <w:r w:rsidR="00CC3236" w:rsidRPr="00C43543">
        <w:rPr>
          <w:szCs w:val="28"/>
          <w14:ligatures w14:val="standardContextual"/>
        </w:rPr>
        <w:instrText>,</w:instrText>
      </w:r>
      <w:r w:rsidR="00CC3236" w:rsidRPr="00C43543">
        <w:rPr>
          <w:szCs w:val="28"/>
          <w14:ligatures w14:val="standardContextual"/>
        </w:rPr>
        <w:br/>
        <w:instrText xml:space="preserve">132 Wn.2d 642, 940 P.2d 261 (1997)" \s "Seizer v. Sessions, 132 Wn.2d 642" \c 1 </w:instrText>
      </w:r>
      <w:r w:rsidR="00CC3236" w:rsidRPr="00C43543">
        <w:rPr>
          <w:szCs w:val="28"/>
          <w14:ligatures w14:val="standardContextual"/>
        </w:rPr>
        <w:fldChar w:fldCharType="end"/>
      </w:r>
      <w:r w:rsidR="00851FE5" w:rsidRPr="00C43543">
        <w:rPr>
          <w:szCs w:val="28"/>
          <w14:ligatures w14:val="standardContextual"/>
        </w:rPr>
        <w:t>.</w:t>
      </w:r>
    </w:p>
    <w:p w14:paraId="3EFEEABB" w14:textId="09A79E34" w:rsidR="00DF4DD8" w:rsidRPr="00C43543" w:rsidRDefault="00DF4DD8" w:rsidP="00DF4DD8">
      <w:pPr>
        <w:pStyle w:val="BodyText"/>
        <w:rPr>
          <w:color w:val="00B050"/>
          <w:szCs w:val="28"/>
          <w14:ligatures w14:val="standardContextual"/>
        </w:rPr>
      </w:pPr>
      <w:r w:rsidRPr="00C43543">
        <w:rPr>
          <w:szCs w:val="28"/>
          <w14:ligatures w14:val="standardContextual"/>
        </w:rPr>
        <w:t xml:space="preserve">To hold that the Commerce Clause requires application of the forum state’s law would render the Restatement’s choice-of-law rules—and thus the rules of most states—unconstitutional. That </w:t>
      </w:r>
      <w:r w:rsidRPr="00C43543">
        <w:rPr>
          <w:szCs w:val="28"/>
          <w14:ligatures w14:val="standardContextual"/>
        </w:rPr>
        <w:lastRenderedPageBreak/>
        <w:t xml:space="preserve">may benefit Monsanto here, but it would </w:t>
      </w:r>
      <w:r w:rsidRPr="00C43543">
        <w:rPr>
          <w:i/>
          <w:iCs/>
          <w:szCs w:val="28"/>
          <w14:ligatures w14:val="standardContextual"/>
        </w:rPr>
        <w:t>harm</w:t>
      </w:r>
      <w:r w:rsidRPr="00C43543">
        <w:rPr>
          <w:szCs w:val="28"/>
          <w14:ligatures w14:val="standardContextual"/>
        </w:rPr>
        <w:t xml:space="preserve"> many out-of-state defendants whose home states provide shorter periods. This Court should not entertain th</w:t>
      </w:r>
      <w:r w:rsidR="00617BA8" w:rsidRPr="00C43543">
        <w:rPr>
          <w:szCs w:val="28"/>
          <w14:ligatures w14:val="standardContextual"/>
        </w:rPr>
        <w:t>is</w:t>
      </w:r>
      <w:r w:rsidRPr="00C43543">
        <w:rPr>
          <w:szCs w:val="28"/>
          <w14:ligatures w14:val="standardContextual"/>
        </w:rPr>
        <w:t xml:space="preserve"> radical p</w:t>
      </w:r>
      <w:r w:rsidR="00617BA8" w:rsidRPr="00C43543">
        <w:rPr>
          <w:szCs w:val="28"/>
          <w14:ligatures w14:val="standardContextual"/>
        </w:rPr>
        <w:t>roposal</w:t>
      </w:r>
      <w:r w:rsidRPr="00C43543">
        <w:rPr>
          <w:szCs w:val="28"/>
          <w14:ligatures w14:val="standardContextual"/>
        </w:rPr>
        <w:t xml:space="preserve"> in a case in which the issue </w:t>
      </w:r>
      <w:r w:rsidR="00617BA8" w:rsidRPr="00C43543">
        <w:rPr>
          <w:szCs w:val="28"/>
          <w14:ligatures w14:val="standardContextual"/>
        </w:rPr>
        <w:t>isn’t</w:t>
      </w:r>
      <w:r w:rsidRPr="00C43543">
        <w:rPr>
          <w:szCs w:val="28"/>
          <w14:ligatures w14:val="standardContextual"/>
        </w:rPr>
        <w:t xml:space="preserve"> even preserved.</w:t>
      </w:r>
    </w:p>
    <w:p w14:paraId="547FD46F" w14:textId="77777777" w:rsidR="00DF4DD8" w:rsidRPr="00C43543" w:rsidRDefault="00DF4DD8" w:rsidP="00FC3399">
      <w:pPr>
        <w:pStyle w:val="Heading3"/>
        <w:rPr>
          <w:rFonts w:ascii="Adobe Garamond Pro" w:hAnsi="Adobe Garamond Pro"/>
          <w14:ligatures w14:val="standardContextual"/>
        </w:rPr>
      </w:pPr>
      <w:bookmarkStart w:id="54" w:name="_Toc109728340"/>
      <w:r w:rsidRPr="00C43543">
        <w:rPr>
          <w:rFonts w:ascii="Adobe Garamond Pro" w:hAnsi="Adobe Garamond Pro"/>
          <w14:ligatures w14:val="standardContextual"/>
        </w:rPr>
        <w:t>Missouri law also governs punitive damages.</w:t>
      </w:r>
      <w:bookmarkEnd w:id="54"/>
    </w:p>
    <w:p w14:paraId="4705919F" w14:textId="6DB7B47D" w:rsidR="00DF4DD8" w:rsidRPr="00C43543" w:rsidRDefault="00A34612" w:rsidP="00DF4DD8">
      <w:pPr>
        <w:pStyle w:val="BodyText"/>
        <w:rPr>
          <w:szCs w:val="28"/>
          <w14:ligatures w14:val="standardContextual"/>
        </w:rPr>
      </w:pPr>
      <w:r w:rsidRPr="00C43543">
        <w:rPr>
          <w:b/>
          <w:bCs/>
          <w:i/>
          <w:iCs/>
          <w:szCs w:val="28"/>
          <w14:ligatures w14:val="standardContextual"/>
        </w:rPr>
        <w:t xml:space="preserve">1. </w:t>
      </w:r>
      <w:r w:rsidR="00186E1F" w:rsidRPr="00C43543">
        <w:rPr>
          <w:b/>
          <w:bCs/>
          <w:i/>
          <w:iCs/>
          <w:szCs w:val="28"/>
          <w14:ligatures w14:val="standardContextual"/>
        </w:rPr>
        <w:t>The “most significant interest” test.</w:t>
      </w:r>
      <w:r w:rsidR="00186E1F" w:rsidRPr="00C43543">
        <w:rPr>
          <w:szCs w:val="28"/>
          <w14:ligatures w14:val="standardContextual"/>
        </w:rPr>
        <w:t xml:space="preserve"> </w:t>
      </w:r>
      <w:r w:rsidR="00DF4DD8" w:rsidRPr="00C43543">
        <w:rPr>
          <w:szCs w:val="28"/>
          <w14:ligatures w14:val="standardContextual"/>
        </w:rPr>
        <w:t xml:space="preserve">The “same choice of law principles” set forth in </w:t>
      </w:r>
      <w:r w:rsidR="00DF4DD8" w:rsidRPr="00C43543">
        <w:rPr>
          <w:i/>
          <w:iCs/>
          <w:szCs w:val="28"/>
          <w14:ligatures w14:val="standardContextual"/>
        </w:rPr>
        <w:t>Spider Staging</w:t>
      </w:r>
      <w:r w:rsidR="00DF4DD8" w:rsidRPr="00C43543">
        <w:rPr>
          <w:szCs w:val="28"/>
          <w14:ligatures w14:val="standardContextual"/>
        </w:rPr>
        <w:t xml:space="preserve"> and </w:t>
      </w:r>
      <w:r w:rsidR="00DF4DD8" w:rsidRPr="00C43543">
        <w:rPr>
          <w:i/>
          <w:iCs/>
          <w:szCs w:val="28"/>
          <w14:ligatures w14:val="standardContextual"/>
        </w:rPr>
        <w:t>Zenaida-Garcia</w:t>
      </w:r>
      <w:r w:rsidR="00DF4DD8" w:rsidRPr="00C43543">
        <w:rPr>
          <w:szCs w:val="28"/>
          <w14:ligatures w14:val="standardContextual"/>
        </w:rPr>
        <w:t xml:space="preserve"> “apply to the issue of punitive damages.” </w:t>
      </w:r>
      <w:r w:rsidR="00DF4DD8" w:rsidRPr="00C43543">
        <w:rPr>
          <w:i/>
          <w:iCs/>
          <w:szCs w:val="28"/>
          <w14:ligatures w14:val="standardContextual"/>
        </w:rPr>
        <w:t>Singh</w:t>
      </w:r>
      <w:r w:rsidR="00DF4DD8" w:rsidRPr="00C43543">
        <w:rPr>
          <w:szCs w:val="28"/>
          <w14:ligatures w14:val="standardContextual"/>
        </w:rPr>
        <w:t xml:space="preserve">, 151 </w:t>
      </w:r>
      <w:proofErr w:type="spellStart"/>
      <w:r w:rsidR="00DF4DD8" w:rsidRPr="00C43543">
        <w:rPr>
          <w:szCs w:val="28"/>
          <w14:ligatures w14:val="standardContextual"/>
        </w:rPr>
        <w:t>Wn</w:t>
      </w:r>
      <w:proofErr w:type="spellEnd"/>
      <w:r w:rsidR="00DF4DD8" w:rsidRPr="00C43543">
        <w:rPr>
          <w:szCs w:val="28"/>
          <w14:ligatures w14:val="standardContextual"/>
        </w:rPr>
        <w:t>. App. at 144</w:t>
      </w:r>
      <w:r w:rsidR="00CC3236" w:rsidRPr="00C43543">
        <w:rPr>
          <w:szCs w:val="28"/>
          <w14:ligatures w14:val="standardContextual"/>
        </w:rPr>
        <w:fldChar w:fldCharType="begin"/>
      </w:r>
      <w:r w:rsidR="00CC3236" w:rsidRPr="00C43543">
        <w:rPr>
          <w:szCs w:val="28"/>
          <w14:ligatures w14:val="standardContextual"/>
        </w:rPr>
        <w:instrText xml:space="preserve"> TA \s "Singh, 151 Wn. App. 137" </w:instrText>
      </w:r>
      <w:r w:rsidR="00CC3236" w:rsidRPr="00C43543">
        <w:rPr>
          <w:szCs w:val="28"/>
          <w14:ligatures w14:val="standardContextual"/>
        </w:rPr>
        <w:fldChar w:fldCharType="end"/>
      </w:r>
      <w:r w:rsidR="00DF4DD8" w:rsidRPr="00C43543">
        <w:rPr>
          <w:szCs w:val="28"/>
          <w14:ligatures w14:val="standardContextual"/>
        </w:rPr>
        <w:t xml:space="preserve">; </w:t>
      </w:r>
      <w:r w:rsidR="00DF4DD8" w:rsidRPr="00C43543">
        <w:rPr>
          <w:i/>
          <w:iCs/>
          <w:szCs w:val="28"/>
          <w14:ligatures w14:val="standardContextual"/>
        </w:rPr>
        <w:t xml:space="preserve">see </w:t>
      </w:r>
      <w:r w:rsidR="00DF4DD8" w:rsidRPr="00C43543">
        <w:rPr>
          <w:szCs w:val="28"/>
          <w14:ligatures w14:val="standardContextual"/>
        </w:rPr>
        <w:t xml:space="preserve">Restatement (Second) of Conflict of Laws § 171, </w:t>
      </w:r>
      <w:proofErr w:type="spellStart"/>
      <w:r w:rsidR="00DF4DD8" w:rsidRPr="00C43543">
        <w:rPr>
          <w:szCs w:val="28"/>
          <w14:ligatures w14:val="standardContextual"/>
        </w:rPr>
        <w:t>cmt</w:t>
      </w:r>
      <w:proofErr w:type="spellEnd"/>
      <w:r w:rsidR="00DF4DD8" w:rsidRPr="00C43543">
        <w:rPr>
          <w:szCs w:val="28"/>
          <w14:ligatures w14:val="standardContextual"/>
        </w:rPr>
        <w:t>. d</w:t>
      </w:r>
      <w:r w:rsidR="00CC3236" w:rsidRPr="00C43543">
        <w:rPr>
          <w:szCs w:val="28"/>
          <w14:ligatures w14:val="standardContextual"/>
        </w:rPr>
        <w:fldChar w:fldCharType="begin"/>
      </w:r>
      <w:r w:rsidR="00CC3236" w:rsidRPr="00C43543">
        <w:rPr>
          <w:szCs w:val="28"/>
          <w14:ligatures w14:val="standardContextual"/>
        </w:rPr>
        <w:instrText xml:space="preserve"> TA \l "Restatement (Second) of Conflict of Laws § 171" \s "Restatement (Second) of Conflict of Laws § 171, cmt. d" \c 3 </w:instrText>
      </w:r>
      <w:r w:rsidR="00CC3236" w:rsidRPr="00C43543">
        <w:rPr>
          <w:szCs w:val="28"/>
          <w14:ligatures w14:val="standardContextual"/>
        </w:rPr>
        <w:fldChar w:fldCharType="end"/>
      </w:r>
      <w:r w:rsidR="00DF4DD8" w:rsidRPr="00C43543">
        <w:rPr>
          <w:szCs w:val="28"/>
          <w14:ligatures w14:val="standardContextual"/>
        </w:rPr>
        <w:t xml:space="preserve"> (“The law selected by application of the rule of § 145 determines the right to exemplary damages.”). Courts award damages under the law of the “state of most significant relationship </w:t>
      </w:r>
      <w:r w:rsidR="00DF4DD8" w:rsidRPr="00C43543">
        <w:rPr>
          <w:i/>
          <w:iCs/>
          <w:szCs w:val="28"/>
          <w14:ligatures w14:val="standardContextual"/>
        </w:rPr>
        <w:t>with respect to the issue of damages</w:t>
      </w:r>
      <w:r w:rsidR="00DF4DD8" w:rsidRPr="00C43543">
        <w:rPr>
          <w:szCs w:val="28"/>
          <w14:ligatures w14:val="standardContextual"/>
        </w:rPr>
        <w:t xml:space="preserve">.” Restatement (Second) of Conflict of Laws § 171, </w:t>
      </w:r>
      <w:proofErr w:type="spellStart"/>
      <w:r w:rsidR="00DF4DD8" w:rsidRPr="00C43543">
        <w:rPr>
          <w:szCs w:val="28"/>
          <w14:ligatures w14:val="standardContextual"/>
        </w:rPr>
        <w:t>cmt</w:t>
      </w:r>
      <w:proofErr w:type="spellEnd"/>
      <w:r w:rsidR="00DF4DD8" w:rsidRPr="00C43543">
        <w:rPr>
          <w:szCs w:val="28"/>
          <w14:ligatures w14:val="standardContextual"/>
        </w:rPr>
        <w:t>. b</w:t>
      </w:r>
      <w:r w:rsidR="00CC3236" w:rsidRPr="00C43543">
        <w:rPr>
          <w:szCs w:val="28"/>
          <w14:ligatures w14:val="standardContextual"/>
        </w:rPr>
        <w:fldChar w:fldCharType="begin"/>
      </w:r>
      <w:r w:rsidR="00CC3236" w:rsidRPr="00C43543">
        <w:rPr>
          <w:szCs w:val="28"/>
          <w14:ligatures w14:val="standardContextual"/>
        </w:rPr>
        <w:instrText xml:space="preserve"> TA \s "Restatement (Second) of Conflict of Laws § 171, cmt. d" </w:instrText>
      </w:r>
      <w:r w:rsidR="00CC3236" w:rsidRPr="00C43543">
        <w:rPr>
          <w:szCs w:val="28"/>
          <w14:ligatures w14:val="standardContextual"/>
        </w:rPr>
        <w:fldChar w:fldCharType="end"/>
      </w:r>
      <w:r w:rsidR="00DF4DD8" w:rsidRPr="00C43543">
        <w:rPr>
          <w:szCs w:val="28"/>
          <w14:ligatures w14:val="standardContextual"/>
        </w:rPr>
        <w:t xml:space="preserve"> (emphasis added). As a result, different states’ laws may govern “whether the actor’s conduct was tortious” and “the measure of damages,” including “what limitations, if any, are imposed upon the amount of recovery.” </w:t>
      </w:r>
      <w:r w:rsidR="00DF4DD8" w:rsidRPr="00C43543">
        <w:rPr>
          <w:i/>
          <w:iCs/>
          <w:szCs w:val="28"/>
          <w14:ligatures w14:val="standardContextual"/>
        </w:rPr>
        <w:t>Id.</w:t>
      </w:r>
      <w:r w:rsidR="00DF4DD8" w:rsidRPr="00C43543">
        <w:rPr>
          <w:szCs w:val="28"/>
          <w14:ligatures w14:val="standardContextual"/>
        </w:rPr>
        <w:t xml:space="preserve"> §§ 156, 171.</w:t>
      </w:r>
      <w:r w:rsidR="002A40BB" w:rsidRPr="00C43543">
        <w:rPr>
          <w:szCs w:val="28"/>
          <w14:ligatures w14:val="standardContextual"/>
        </w:rPr>
        <w:fldChar w:fldCharType="begin"/>
      </w:r>
      <w:r w:rsidR="002A40BB" w:rsidRPr="00C43543">
        <w:rPr>
          <w:szCs w:val="28"/>
          <w14:ligatures w14:val="standardContextual"/>
        </w:rPr>
        <w:instrText xml:space="preserve"> TA \s "Restatement (Second) of Conflict of Laws § 171, cmt. d" </w:instrText>
      </w:r>
      <w:r w:rsidR="002A40BB" w:rsidRPr="00C43543">
        <w:rPr>
          <w:szCs w:val="28"/>
          <w14:ligatures w14:val="standardContextual"/>
        </w:rPr>
        <w:fldChar w:fldCharType="end"/>
      </w:r>
      <w:r w:rsidR="00DF4DD8" w:rsidRPr="00C43543">
        <w:rPr>
          <w:szCs w:val="28"/>
          <w14:ligatures w14:val="standardContextual"/>
        </w:rPr>
        <w:t xml:space="preserve"> </w:t>
      </w:r>
    </w:p>
    <w:p w14:paraId="3BB05ECC" w14:textId="42D8FA36" w:rsidR="00DF4DD8" w:rsidRPr="00C43543" w:rsidRDefault="00DF4DD8" w:rsidP="00DF4DD8">
      <w:pPr>
        <w:pStyle w:val="BodyText"/>
        <w:rPr>
          <w:szCs w:val="28"/>
          <w14:ligatures w14:val="standardContextual"/>
        </w:rPr>
      </w:pPr>
      <w:r w:rsidRPr="00C43543">
        <w:rPr>
          <w:szCs w:val="28"/>
          <w14:ligatures w14:val="standardContextual"/>
        </w:rPr>
        <w:t xml:space="preserve">Likewise, the “law governing the right to exemplary damages need not necessarily be the same as the law governing the measure of compensatory damages.” </w:t>
      </w:r>
      <w:r w:rsidRPr="00C43543">
        <w:rPr>
          <w:i/>
          <w:iCs/>
          <w:szCs w:val="28"/>
          <w14:ligatures w14:val="standardContextual"/>
        </w:rPr>
        <w:t>Id.</w:t>
      </w:r>
      <w:r w:rsidRPr="00C43543">
        <w:rPr>
          <w:szCs w:val="28"/>
          <w14:ligatures w14:val="standardContextual"/>
        </w:rPr>
        <w:t xml:space="preserve"> § 171, </w:t>
      </w:r>
      <w:proofErr w:type="spellStart"/>
      <w:r w:rsidRPr="00C43543">
        <w:rPr>
          <w:szCs w:val="28"/>
          <w14:ligatures w14:val="standardContextual"/>
        </w:rPr>
        <w:t>cmt</w:t>
      </w:r>
      <w:proofErr w:type="spellEnd"/>
      <w:r w:rsidRPr="00C43543">
        <w:rPr>
          <w:szCs w:val="28"/>
          <w14:ligatures w14:val="standardContextual"/>
        </w:rPr>
        <w:t>. d</w:t>
      </w:r>
      <w:r w:rsidRPr="00C43543">
        <w:rPr>
          <w:iCs/>
          <w:szCs w:val="28"/>
          <w14:ligatures w14:val="standardContextual"/>
        </w:rPr>
        <w:t>.</w:t>
      </w:r>
      <w:r w:rsidR="002A40BB" w:rsidRPr="00C43543">
        <w:rPr>
          <w:iCs/>
          <w:szCs w:val="28"/>
          <w14:ligatures w14:val="standardContextual"/>
        </w:rPr>
        <w:fldChar w:fldCharType="begin"/>
      </w:r>
      <w:r w:rsidR="002A40BB" w:rsidRPr="00C43543">
        <w:rPr>
          <w:szCs w:val="28"/>
          <w14:ligatures w14:val="standardContextual"/>
        </w:rPr>
        <w:instrText xml:space="preserve"> TA \s "Restatement (Second) of Conflict of Laws § 171, cmt. d" </w:instrText>
      </w:r>
      <w:r w:rsidR="002A40BB" w:rsidRPr="00C43543">
        <w:rPr>
          <w:iCs/>
          <w:szCs w:val="28"/>
          <w14:ligatures w14:val="standardContextual"/>
        </w:rPr>
        <w:fldChar w:fldCharType="end"/>
      </w:r>
      <w:r w:rsidRPr="00C43543">
        <w:rPr>
          <w:szCs w:val="28"/>
          <w14:ligatures w14:val="standardContextual"/>
        </w:rPr>
        <w:t xml:space="preserve"> “This is because </w:t>
      </w:r>
      <w:r w:rsidRPr="00C43543">
        <w:rPr>
          <w:szCs w:val="28"/>
          <w14:ligatures w14:val="standardContextual"/>
        </w:rPr>
        <w:lastRenderedPageBreak/>
        <w:t xml:space="preserve">situations may arise where one state has the dominant interest with respect to the issue of compensatory damages and another state has the dominant interest with respect to the issue of exemplary damages.” </w:t>
      </w:r>
      <w:r w:rsidRPr="00C43543">
        <w:rPr>
          <w:i/>
          <w:iCs/>
          <w:szCs w:val="28"/>
          <w14:ligatures w14:val="standardContextual"/>
        </w:rPr>
        <w:t>Id.</w:t>
      </w:r>
      <w:r w:rsidR="002A40BB" w:rsidRPr="00C43543">
        <w:rPr>
          <w:i/>
          <w:iCs/>
          <w:szCs w:val="28"/>
          <w14:ligatures w14:val="standardContextual"/>
        </w:rPr>
        <w:fldChar w:fldCharType="begin"/>
      </w:r>
      <w:r w:rsidR="002A40BB" w:rsidRPr="00C43543">
        <w:rPr>
          <w:szCs w:val="28"/>
          <w14:ligatures w14:val="standardContextual"/>
        </w:rPr>
        <w:instrText xml:space="preserve"> TA \s "Restatement (Second) of Conflict of Laws § 171, cmt. d" </w:instrText>
      </w:r>
      <w:r w:rsidR="002A40BB" w:rsidRPr="00C43543">
        <w:rPr>
          <w:i/>
          <w:iCs/>
          <w:szCs w:val="28"/>
          <w14:ligatures w14:val="standardContextual"/>
        </w:rPr>
        <w:fldChar w:fldCharType="end"/>
      </w:r>
      <w:r w:rsidRPr="00C43543">
        <w:rPr>
          <w:i/>
          <w:iCs/>
          <w:szCs w:val="28"/>
          <w14:ligatures w14:val="standardContextual"/>
        </w:rPr>
        <w:t xml:space="preserve"> </w:t>
      </w:r>
      <w:r w:rsidRPr="00C43543">
        <w:rPr>
          <w:szCs w:val="28"/>
          <w14:ligatures w14:val="standardContextual"/>
        </w:rPr>
        <w:t xml:space="preserve">If another state has the most significant relationship to issue of punitive damages, “a Washington court can award punitive damages under the law” of that state. </w:t>
      </w:r>
      <w:r w:rsidR="00851FE5" w:rsidRPr="00C43543">
        <w:rPr>
          <w:i/>
          <w:szCs w:val="28"/>
          <w14:ligatures w14:val="standardContextual"/>
        </w:rPr>
        <w:t>Kammerer v. W</w:t>
      </w:r>
      <w:r w:rsidR="00CA2BA8" w:rsidRPr="00C43543">
        <w:rPr>
          <w:i/>
          <w:szCs w:val="28"/>
          <w14:ligatures w14:val="standardContextual"/>
        </w:rPr>
        <w:t>.</w:t>
      </w:r>
      <w:r w:rsidR="00851FE5" w:rsidRPr="00C43543">
        <w:rPr>
          <w:i/>
          <w:szCs w:val="28"/>
          <w14:ligatures w14:val="standardContextual"/>
        </w:rPr>
        <w:t xml:space="preserve"> Gear Corp.</w:t>
      </w:r>
      <w:r w:rsidR="00851FE5" w:rsidRPr="00C43543">
        <w:rPr>
          <w:szCs w:val="28"/>
          <w14:ligatures w14:val="standardContextual"/>
        </w:rPr>
        <w:t>, 96 Wn.2d 416, 423, 635 P.2d 708 (1981)</w:t>
      </w:r>
      <w:r w:rsidR="002A40BB" w:rsidRPr="00C43543">
        <w:rPr>
          <w:szCs w:val="28"/>
          <w14:ligatures w14:val="standardContextual"/>
        </w:rPr>
        <w:fldChar w:fldCharType="begin"/>
      </w:r>
      <w:r w:rsidR="002A40BB" w:rsidRPr="00C43543">
        <w:rPr>
          <w:szCs w:val="28"/>
          <w14:ligatures w14:val="standardContextual"/>
        </w:rPr>
        <w:instrText xml:space="preserve"> TA \l "</w:instrText>
      </w:r>
      <w:r w:rsidR="002A40BB" w:rsidRPr="00C43543">
        <w:rPr>
          <w:i/>
          <w:szCs w:val="28"/>
          <w14:ligatures w14:val="standardContextual"/>
        </w:rPr>
        <w:instrText>Kammerer v. Western Gear Corp.</w:instrText>
      </w:r>
      <w:r w:rsidR="002A40BB" w:rsidRPr="00C43543">
        <w:rPr>
          <w:szCs w:val="28"/>
          <w14:ligatures w14:val="standardContextual"/>
        </w:rPr>
        <w:instrText>,</w:instrText>
      </w:r>
      <w:r w:rsidR="002A40BB" w:rsidRPr="00C43543">
        <w:rPr>
          <w:szCs w:val="28"/>
          <w14:ligatures w14:val="standardContextual"/>
        </w:rPr>
        <w:br/>
        <w:instrText xml:space="preserve">96 Wn.2d 416, 635 P.2d 708 (1981)" \s "Kammerer v. Western, 96 Wn.2d 416" \c 1 </w:instrText>
      </w:r>
      <w:r w:rsidR="002A40BB"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 xml:space="preserve">see </w:t>
      </w:r>
      <w:proofErr w:type="spellStart"/>
      <w:r w:rsidRPr="00C43543">
        <w:rPr>
          <w:i/>
          <w:iCs/>
          <w:szCs w:val="28"/>
          <w14:ligatures w14:val="standardContextual"/>
        </w:rPr>
        <w:t>Nazar</w:t>
      </w:r>
      <w:proofErr w:type="spellEnd"/>
      <w:r w:rsidRPr="00C43543">
        <w:rPr>
          <w:i/>
          <w:iCs/>
          <w:szCs w:val="28"/>
          <w14:ligatures w14:val="standardContextual"/>
        </w:rPr>
        <w:t xml:space="preserve"> v. Harbor Freight Tools USA Inc.</w:t>
      </w:r>
      <w:r w:rsidRPr="00C43543">
        <w:rPr>
          <w:szCs w:val="28"/>
          <w14:ligatures w14:val="standardContextual"/>
        </w:rPr>
        <w:t>, 2019 WL 2066127, at *1 (E.D. Wash. Mar. 8, 2019)</w:t>
      </w:r>
      <w:r w:rsidR="002A40BB" w:rsidRPr="00C43543">
        <w:rPr>
          <w:szCs w:val="28"/>
          <w14:ligatures w14:val="standardContextual"/>
        </w:rPr>
        <w:fldChar w:fldCharType="begin"/>
      </w:r>
      <w:r w:rsidR="002A40BB" w:rsidRPr="00C43543">
        <w:rPr>
          <w:szCs w:val="28"/>
          <w14:ligatures w14:val="standardContextual"/>
        </w:rPr>
        <w:instrText xml:space="preserve"> TA \l "</w:instrText>
      </w:r>
      <w:r w:rsidR="002A40BB" w:rsidRPr="00C43543">
        <w:rPr>
          <w:i/>
          <w:iCs/>
          <w:szCs w:val="28"/>
          <w14:ligatures w14:val="standardContextual"/>
        </w:rPr>
        <w:instrText>Nazar v. Harbor Freight Tools USA Inc.</w:instrText>
      </w:r>
      <w:r w:rsidR="002A40BB" w:rsidRPr="00C43543">
        <w:rPr>
          <w:szCs w:val="28"/>
          <w14:ligatures w14:val="standardContextual"/>
        </w:rPr>
        <w:instrText>,</w:instrText>
      </w:r>
      <w:r w:rsidR="002A40BB" w:rsidRPr="00C43543">
        <w:rPr>
          <w:szCs w:val="28"/>
          <w14:ligatures w14:val="standardContextual"/>
        </w:rPr>
        <w:br/>
        <w:instrText xml:space="preserve">2019 WL 2066127 (E.D. Wash. Mar. 8, 2019)" \s "Nazar v. Harbor, 2019 WL 2066127" \c 1 </w:instrText>
      </w:r>
      <w:r w:rsidR="002A40BB" w:rsidRPr="00C43543">
        <w:rPr>
          <w:szCs w:val="28"/>
          <w14:ligatures w14:val="standardContextual"/>
        </w:rPr>
        <w:fldChar w:fldCharType="end"/>
      </w:r>
      <w:r w:rsidRPr="00C43543">
        <w:rPr>
          <w:szCs w:val="28"/>
          <w14:ligatures w14:val="standardContextual"/>
        </w:rPr>
        <w:t xml:space="preserve"> (same).</w:t>
      </w:r>
    </w:p>
    <w:p w14:paraId="7831905F" w14:textId="43A061A6" w:rsidR="00DF4DD8" w:rsidRPr="00C43543" w:rsidRDefault="00DF4DD8" w:rsidP="00DF4DD8">
      <w:pPr>
        <w:pStyle w:val="BodyText"/>
        <w:rPr>
          <w:iCs/>
          <w:szCs w:val="28"/>
          <w14:ligatures w14:val="standardContextual"/>
        </w:rPr>
      </w:pPr>
      <w:r w:rsidRPr="00C43543">
        <w:rPr>
          <w:szCs w:val="28"/>
          <w14:ligatures w14:val="standardContextual"/>
        </w:rPr>
        <w:t xml:space="preserve">This Court’s application of these principles in </w:t>
      </w:r>
      <w:r w:rsidRPr="00C43543">
        <w:rPr>
          <w:i/>
          <w:iCs/>
          <w:szCs w:val="28"/>
          <w14:ligatures w14:val="standardContextual"/>
        </w:rPr>
        <w:t>Singh</w:t>
      </w:r>
      <w:r w:rsidRPr="00C43543">
        <w:rPr>
          <w:szCs w:val="28"/>
          <w14:ligatures w14:val="standardContextual"/>
        </w:rPr>
        <w:t xml:space="preserve">, 151 </w:t>
      </w:r>
      <w:proofErr w:type="spellStart"/>
      <w:r w:rsidRPr="00C43543">
        <w:rPr>
          <w:szCs w:val="28"/>
          <w14:ligatures w14:val="standardContextual"/>
        </w:rPr>
        <w:t>Wn</w:t>
      </w:r>
      <w:proofErr w:type="spellEnd"/>
      <w:r w:rsidRPr="00C43543">
        <w:rPr>
          <w:szCs w:val="28"/>
          <w14:ligatures w14:val="standardContextual"/>
        </w:rPr>
        <w:t>. App. at 140</w:t>
      </w:r>
      <w:r w:rsidR="002A40BB" w:rsidRPr="00C43543">
        <w:rPr>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szCs w:val="28"/>
          <w14:ligatures w14:val="standardContextual"/>
        </w:rPr>
        <w:fldChar w:fldCharType="end"/>
      </w:r>
      <w:r w:rsidRPr="00C43543">
        <w:rPr>
          <w:szCs w:val="28"/>
          <w14:ligatures w14:val="standardContextual"/>
        </w:rPr>
        <w:t xml:space="preserve">, forecloses Monsanto’s argument that the trial court should have applied Washington’s bar on punitive damages. In </w:t>
      </w:r>
      <w:r w:rsidRPr="00C43543">
        <w:rPr>
          <w:i/>
          <w:iCs/>
          <w:szCs w:val="28"/>
          <w14:ligatures w14:val="standardContextual"/>
        </w:rPr>
        <w:t>Singh</w:t>
      </w:r>
      <w:r w:rsidR="00263569" w:rsidRPr="00C43543">
        <w:rPr>
          <w:szCs w:val="28"/>
          <w14:ligatures w14:val="standardContextual"/>
        </w:rPr>
        <w:t>,</w:t>
      </w:r>
      <w:r w:rsidR="007B7B36" w:rsidRPr="00C43543">
        <w:rPr>
          <w:szCs w:val="28"/>
          <w14:ligatures w14:val="standardContextual"/>
        </w:rPr>
        <w:t xml:space="preserve"> a Washington resident injured in a Washington hospital when a defective heart monitor malfunctioned brought a products</w:t>
      </w:r>
      <w:r w:rsidR="005125C7">
        <w:rPr>
          <w:szCs w:val="28"/>
          <w14:ligatures w14:val="standardContextual"/>
        </w:rPr>
        <w:t>-</w:t>
      </w:r>
      <w:r w:rsidR="007B7B36" w:rsidRPr="00C43543">
        <w:rPr>
          <w:szCs w:val="28"/>
          <w14:ligatures w14:val="standardContextual"/>
        </w:rPr>
        <w:t>liability claim under Washington law against the California-based manufacturer.</w:t>
      </w:r>
      <w:r w:rsidR="007B7B36" w:rsidRPr="00C43543">
        <w:rPr>
          <w:iCs/>
          <w:szCs w:val="28"/>
          <w14:ligatures w14:val="standardContextual"/>
        </w:rPr>
        <w:t xml:space="preserve"> </w:t>
      </w:r>
      <w:r w:rsidR="007B7B36" w:rsidRPr="00C43543">
        <w:rPr>
          <w:i/>
          <w:szCs w:val="28"/>
          <w14:ligatures w14:val="standardContextual"/>
        </w:rPr>
        <w:t>Id.</w:t>
      </w:r>
      <w:r w:rsidR="007B7B36" w:rsidRPr="00C43543">
        <w:rPr>
          <w:iCs/>
          <w:szCs w:val="28"/>
          <w14:ligatures w14:val="standardContextual"/>
        </w:rPr>
        <w:t xml:space="preserve"> at 140-41</w:t>
      </w:r>
      <w:r w:rsidR="002A40BB" w:rsidRPr="00C43543">
        <w:rPr>
          <w:iCs/>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iCs/>
          <w:szCs w:val="28"/>
          <w14:ligatures w14:val="standardContextual"/>
        </w:rPr>
        <w:fldChar w:fldCharType="end"/>
      </w:r>
      <w:r w:rsidR="007B7B36" w:rsidRPr="00C43543">
        <w:rPr>
          <w:iCs/>
          <w:szCs w:val="28"/>
          <w14:ligatures w14:val="standardContextual"/>
        </w:rPr>
        <w:t>. The manufacturer also designed the monitor and made the decision to conceal the defect from its California “corporate headquarters.”</w:t>
      </w:r>
      <w:r w:rsidRPr="00C43543">
        <w:rPr>
          <w:iCs/>
          <w:szCs w:val="28"/>
          <w14:ligatures w14:val="standardContextual"/>
        </w:rPr>
        <w:t xml:space="preserve"> Canvassing Washington decisions on conflicts of law, this Court concluded that “</w:t>
      </w:r>
      <w:r w:rsidRPr="00C43543">
        <w:rPr>
          <w:szCs w:val="28"/>
          <w14:ligatures w14:val="standardContextual"/>
        </w:rPr>
        <w:t xml:space="preserve">Washington has no interest in protecting companies who commit </w:t>
      </w:r>
      <w:r w:rsidRPr="00C43543">
        <w:rPr>
          <w:szCs w:val="28"/>
          <w14:ligatures w14:val="standardContextual"/>
        </w:rPr>
        <w:lastRenderedPageBreak/>
        <w:t>fraud</w:t>
      </w:r>
      <w:r w:rsidRPr="00C43543">
        <w:rPr>
          <w:iCs/>
          <w:szCs w:val="28"/>
          <w14:ligatures w14:val="standardContextual"/>
        </w:rPr>
        <w:t xml:space="preserve">.” </w:t>
      </w:r>
      <w:r w:rsidRPr="00C43543">
        <w:rPr>
          <w:i/>
          <w:szCs w:val="28"/>
          <w14:ligatures w14:val="standardContextual"/>
        </w:rPr>
        <w:t>Id.</w:t>
      </w:r>
      <w:r w:rsidRPr="00C43543">
        <w:rPr>
          <w:iCs/>
          <w:szCs w:val="28"/>
          <w14:ligatures w14:val="standardContextual"/>
        </w:rPr>
        <w:t xml:space="preserve"> </w:t>
      </w:r>
      <w:r w:rsidRPr="00C43543">
        <w:rPr>
          <w:szCs w:val="28"/>
          <w14:ligatures w14:val="standardContextual"/>
        </w:rPr>
        <w:t>at</w:t>
      </w:r>
      <w:r w:rsidRPr="00C43543">
        <w:rPr>
          <w:iCs/>
          <w:szCs w:val="28"/>
          <w14:ligatures w14:val="standardContextual"/>
        </w:rPr>
        <w:t xml:space="preserve"> 145, 147-48</w:t>
      </w:r>
      <w:r w:rsidR="002A40BB" w:rsidRPr="00C43543">
        <w:rPr>
          <w:iCs/>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iCs/>
          <w:szCs w:val="28"/>
          <w14:ligatures w14:val="standardContextual"/>
        </w:rPr>
        <w:fldChar w:fldCharType="end"/>
      </w:r>
      <w:r w:rsidRPr="00C43543">
        <w:rPr>
          <w:iCs/>
          <w:szCs w:val="28"/>
          <w14:ligatures w14:val="standardContextual"/>
        </w:rPr>
        <w:t xml:space="preserve">. Instead, the most “significant factor” in determining the law governing punitive damages is “the jurisdiction in which the bad behavior </w:t>
      </w:r>
      <w:r w:rsidR="00E47F39" w:rsidRPr="00C43543">
        <w:rPr>
          <w:iCs/>
          <w:szCs w:val="28"/>
          <w14:ligatures w14:val="standardContextual"/>
        </w:rPr>
        <w:t xml:space="preserve">. . . </w:t>
      </w:r>
      <w:r w:rsidRPr="00C43543">
        <w:rPr>
          <w:iCs/>
          <w:szCs w:val="28"/>
          <w14:ligatures w14:val="standardContextual"/>
        </w:rPr>
        <w:t xml:space="preserve">occurred.” </w:t>
      </w:r>
      <w:r w:rsidRPr="00C43543">
        <w:rPr>
          <w:i/>
          <w:iCs/>
          <w:szCs w:val="28"/>
          <w14:ligatures w14:val="standardContextual"/>
        </w:rPr>
        <w:t>Id.</w:t>
      </w:r>
      <w:r w:rsidRPr="00C43543">
        <w:rPr>
          <w:szCs w:val="28"/>
          <w14:ligatures w14:val="standardContextual"/>
        </w:rPr>
        <w:t xml:space="preserve"> at</w:t>
      </w:r>
      <w:r w:rsidRPr="00C43543">
        <w:rPr>
          <w:iCs/>
          <w:szCs w:val="28"/>
          <w14:ligatures w14:val="standardContextual"/>
        </w:rPr>
        <w:t xml:space="preserve"> 145.</w:t>
      </w:r>
      <w:r w:rsidR="002A40BB" w:rsidRPr="00C43543">
        <w:rPr>
          <w:iCs/>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iCs/>
          <w:szCs w:val="28"/>
          <w14:ligatures w14:val="standardContextual"/>
        </w:rPr>
        <w:fldChar w:fldCharType="end"/>
      </w:r>
      <w:r w:rsidRPr="00C43543">
        <w:rPr>
          <w:szCs w:val="28"/>
          <w14:ligatures w14:val="standardContextual"/>
        </w:rPr>
        <w:t xml:space="preserve"> </w:t>
      </w:r>
      <w:r w:rsidRPr="00C43543">
        <w:rPr>
          <w:iCs/>
          <w:szCs w:val="28"/>
          <w14:ligatures w14:val="standardContextual"/>
        </w:rPr>
        <w:t>Because “[t]</w:t>
      </w:r>
      <w:r w:rsidRPr="00C43543">
        <w:rPr>
          <w:szCs w:val="28"/>
          <w14:ligatures w14:val="standardContextual"/>
        </w:rPr>
        <w:t xml:space="preserve">he conduct that serve[d] as the basis of the punitive damage award </w:t>
      </w:r>
      <w:r w:rsidR="00E47F39" w:rsidRPr="00C43543">
        <w:rPr>
          <w:iCs/>
          <w:szCs w:val="28"/>
          <w14:ligatures w14:val="standardContextual"/>
        </w:rPr>
        <w:t xml:space="preserve">. . . </w:t>
      </w:r>
      <w:r w:rsidRPr="00C43543">
        <w:rPr>
          <w:szCs w:val="28"/>
          <w14:ligatures w14:val="standardContextual"/>
        </w:rPr>
        <w:t xml:space="preserve">occurred in California and that state has an interest in deterring its corporations from engaging in such fraudulent conduct,” the court applied California’s punitive-damages law. </w:t>
      </w:r>
      <w:r w:rsidRPr="00C43543">
        <w:rPr>
          <w:i/>
          <w:iCs/>
          <w:szCs w:val="28"/>
          <w14:ligatures w14:val="standardContextual"/>
        </w:rPr>
        <w:t>Id.</w:t>
      </w:r>
      <w:r w:rsidRPr="00C43543">
        <w:rPr>
          <w:szCs w:val="28"/>
          <w14:ligatures w14:val="standardContextual"/>
        </w:rPr>
        <w:t xml:space="preserve"> at 148.</w:t>
      </w:r>
      <w:r w:rsidR="007B7B36" w:rsidRPr="00C43543">
        <w:rPr>
          <w:rStyle w:val="FootnoteReference"/>
          <w:szCs w:val="28"/>
          <w14:ligatures w14:val="standardContextual"/>
        </w:rPr>
        <w:footnoteReference w:id="11"/>
      </w:r>
      <w:r w:rsidR="002A40BB" w:rsidRPr="00C43543">
        <w:rPr>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szCs w:val="28"/>
          <w14:ligatures w14:val="standardContextual"/>
        </w:rPr>
        <w:fldChar w:fldCharType="end"/>
      </w:r>
      <w:r w:rsidRPr="00C43543">
        <w:rPr>
          <w:iCs/>
          <w:szCs w:val="28"/>
          <w14:ligatures w14:val="standardContextual"/>
        </w:rPr>
        <w:t xml:space="preserve"> </w:t>
      </w:r>
    </w:p>
    <w:p w14:paraId="207C8BAB" w14:textId="7DD88D15" w:rsidR="00DF4DD8" w:rsidRPr="00C43543" w:rsidRDefault="00DF4DD8" w:rsidP="00DF4DD8">
      <w:pPr>
        <w:pStyle w:val="BodyText"/>
        <w:rPr>
          <w:szCs w:val="28"/>
          <w14:ligatures w14:val="standardContextual"/>
        </w:rPr>
      </w:pPr>
      <w:r w:rsidRPr="00C43543">
        <w:rPr>
          <w:szCs w:val="28"/>
          <w14:ligatures w14:val="standardContextual"/>
        </w:rPr>
        <w:t xml:space="preserve">As the trial court observed, </w:t>
      </w:r>
      <w:r w:rsidRPr="00C43543">
        <w:rPr>
          <w:i/>
          <w:szCs w:val="28"/>
          <w14:ligatures w14:val="standardContextual"/>
        </w:rPr>
        <w:t xml:space="preserve">Singh </w:t>
      </w:r>
      <w:r w:rsidRPr="00C43543">
        <w:rPr>
          <w:szCs w:val="28"/>
          <w14:ligatures w14:val="standardContextual"/>
        </w:rPr>
        <w:t xml:space="preserve">is “close factually” to this case. CP 9361. The plaintiffs here, as in </w:t>
      </w:r>
      <w:r w:rsidRPr="00C43543">
        <w:rPr>
          <w:i/>
          <w:szCs w:val="28"/>
          <w14:ligatures w14:val="standardContextual"/>
        </w:rPr>
        <w:t>Singh</w:t>
      </w:r>
      <w:r w:rsidRPr="00C43543">
        <w:rPr>
          <w:szCs w:val="28"/>
          <w14:ligatures w14:val="standardContextual"/>
        </w:rPr>
        <w:t xml:space="preserve">, are Washington residents who were injured in Washington. “Even though Washington has a strong policy against punitive damages, it has no interest in protecting companies that commit fraud.” </w:t>
      </w:r>
      <w:r w:rsidRPr="00C43543">
        <w:rPr>
          <w:i/>
          <w:szCs w:val="28"/>
          <w14:ligatures w14:val="standardContextual"/>
        </w:rPr>
        <w:t>Singh</w:t>
      </w:r>
      <w:r w:rsidRPr="00C43543">
        <w:rPr>
          <w:iCs/>
          <w:szCs w:val="28"/>
          <w14:ligatures w14:val="standardContextual"/>
        </w:rPr>
        <w:t xml:space="preserve">, </w:t>
      </w:r>
      <w:r w:rsidRPr="00C43543">
        <w:rPr>
          <w:szCs w:val="28"/>
          <w14:ligatures w14:val="standardContextual"/>
        </w:rPr>
        <w:t xml:space="preserve">151 </w:t>
      </w:r>
      <w:proofErr w:type="spellStart"/>
      <w:r w:rsidRPr="00C43543">
        <w:rPr>
          <w:szCs w:val="28"/>
          <w14:ligatures w14:val="standardContextual"/>
        </w:rPr>
        <w:t>Wn</w:t>
      </w:r>
      <w:proofErr w:type="spellEnd"/>
      <w:r w:rsidRPr="00C43543">
        <w:rPr>
          <w:szCs w:val="28"/>
          <w14:ligatures w14:val="standardContextual"/>
        </w:rPr>
        <w:t>. App. at 140.</w:t>
      </w:r>
      <w:r w:rsidR="002A40BB" w:rsidRPr="00C43543">
        <w:rPr>
          <w:szCs w:val="28"/>
          <w14:ligatures w14:val="standardContextual"/>
        </w:rPr>
        <w:fldChar w:fldCharType="begin"/>
      </w:r>
      <w:r w:rsidR="002A40BB" w:rsidRPr="00C43543">
        <w:rPr>
          <w:szCs w:val="28"/>
          <w14:ligatures w14:val="standardContextual"/>
        </w:rPr>
        <w:instrText xml:space="preserve"> TA \s "Singh, 151 Wn. App. 137" </w:instrText>
      </w:r>
      <w:r w:rsidR="002A40BB" w:rsidRPr="00C43543">
        <w:rPr>
          <w:szCs w:val="28"/>
          <w14:ligatures w14:val="standardContextual"/>
        </w:rPr>
        <w:fldChar w:fldCharType="end"/>
      </w:r>
      <w:r w:rsidRPr="00C43543">
        <w:rPr>
          <w:szCs w:val="28"/>
          <w14:ligatures w14:val="standardContextual"/>
        </w:rPr>
        <w:t xml:space="preserve"> Nor would Washington’s interests be “furthered by </w:t>
      </w:r>
      <w:r w:rsidRPr="00C43543">
        <w:rPr>
          <w:szCs w:val="28"/>
          <w14:ligatures w14:val="standardContextual"/>
        </w:rPr>
        <w:lastRenderedPageBreak/>
        <w:t>prohibiting punitive damages as to alleged wrongful conduct resulting in the death of its citizens where the conduct occurred outside of its territory.”</w:t>
      </w:r>
      <w:r w:rsidRPr="00C43543">
        <w:rPr>
          <w:i/>
          <w:iCs/>
          <w:szCs w:val="28"/>
          <w14:ligatures w14:val="standardContextual"/>
        </w:rPr>
        <w:t xml:space="preserve"> </w:t>
      </w:r>
      <w:r w:rsidR="009058E3" w:rsidRPr="00C43543">
        <w:rPr>
          <w:i/>
          <w:iCs/>
          <w:szCs w:val="28"/>
          <w14:ligatures w14:val="standardContextual"/>
        </w:rPr>
        <w:t>Hersh v. CKE Rest. Holdings, Inc.</w:t>
      </w:r>
      <w:r w:rsidR="009058E3" w:rsidRPr="00C43543">
        <w:rPr>
          <w:szCs w:val="28"/>
          <w14:ligatures w14:val="standardContextual"/>
        </w:rPr>
        <w:t>, 571 F. Supp.</w:t>
      </w:r>
      <w:r w:rsidR="00CA2BA8" w:rsidRPr="00C43543">
        <w:rPr>
          <w:szCs w:val="28"/>
          <w14:ligatures w14:val="standardContextual"/>
        </w:rPr>
        <w:t xml:space="preserve"> </w:t>
      </w:r>
      <w:r w:rsidR="009058E3" w:rsidRPr="00C43543">
        <w:rPr>
          <w:szCs w:val="28"/>
          <w14:ligatures w14:val="standardContextual"/>
        </w:rPr>
        <w:t>3d 1046, 1055 (E.D. Mo. 2021)</w:t>
      </w:r>
      <w:r w:rsidR="004225A6" w:rsidRPr="00C43543">
        <w:rPr>
          <w:szCs w:val="28"/>
          <w14:ligatures w14:val="standardContextual"/>
        </w:rPr>
        <w:fldChar w:fldCharType="begin"/>
      </w:r>
      <w:r w:rsidR="004225A6" w:rsidRPr="00C43543">
        <w:rPr>
          <w:szCs w:val="28"/>
          <w14:ligatures w14:val="standardContextual"/>
        </w:rPr>
        <w:instrText xml:space="preserve"> TA \l "</w:instrText>
      </w:r>
      <w:r w:rsidR="004225A6" w:rsidRPr="00C43543">
        <w:rPr>
          <w:i/>
          <w:iCs/>
          <w:szCs w:val="28"/>
          <w14:ligatures w14:val="standardContextual"/>
        </w:rPr>
        <w:instrText>Hersh v. CKE Rest. Holdings, Inc.</w:instrText>
      </w:r>
      <w:r w:rsidR="004225A6" w:rsidRPr="00C43543">
        <w:rPr>
          <w:szCs w:val="28"/>
          <w14:ligatures w14:val="standardContextual"/>
        </w:rPr>
        <w:instrText>,</w:instrText>
      </w:r>
      <w:r w:rsidR="004225A6" w:rsidRPr="00C43543">
        <w:rPr>
          <w:szCs w:val="28"/>
          <w14:ligatures w14:val="standardContextual"/>
        </w:rPr>
        <w:br/>
        <w:instrText xml:space="preserve">571 F. Supp.3d 1046 (E.D. Mo. 2021)" \s "Hersh v. CKE, 571 F. Supp.3d 1046" \c 1 </w:instrText>
      </w:r>
      <w:r w:rsidR="004225A6" w:rsidRPr="00C43543">
        <w:rPr>
          <w:szCs w:val="28"/>
          <w14:ligatures w14:val="standardContextual"/>
        </w:rPr>
        <w:fldChar w:fldCharType="end"/>
      </w:r>
      <w:r w:rsidRPr="00C43543">
        <w:rPr>
          <w:szCs w:val="28"/>
          <w14:ligatures w14:val="standardContextual"/>
        </w:rPr>
        <w:t>. This Court has thus held that Washington policy does not prevent an award of punitive damages to further the interests of the state where the tortious conduct occurred.</w:t>
      </w:r>
      <w:r w:rsidRPr="00C43543">
        <w:rPr>
          <w:i/>
          <w:iCs/>
          <w:szCs w:val="28"/>
          <w14:ligatures w14:val="standardContextual"/>
        </w:rPr>
        <w:t xml:space="preserve"> Kammerer</w:t>
      </w:r>
      <w:r w:rsidRPr="00C43543">
        <w:rPr>
          <w:szCs w:val="28"/>
          <w14:ligatures w14:val="standardContextual"/>
        </w:rPr>
        <w:t>, 96 Wn.2d at 423</w:t>
      </w:r>
      <w:r w:rsidR="004225A6" w:rsidRPr="00C43543">
        <w:rPr>
          <w:szCs w:val="28"/>
          <w14:ligatures w14:val="standardContextual"/>
        </w:rPr>
        <w:fldChar w:fldCharType="begin"/>
      </w:r>
      <w:r w:rsidR="004225A6" w:rsidRPr="00C43543">
        <w:rPr>
          <w:szCs w:val="28"/>
          <w14:ligatures w14:val="standardContextual"/>
        </w:rPr>
        <w:instrText xml:space="preserve"> TA \s "Kammerer v. Western, 96 Wn.2d 416" </w:instrText>
      </w:r>
      <w:r w:rsidR="004225A6" w:rsidRPr="00C43543">
        <w:rPr>
          <w:szCs w:val="28"/>
          <w14:ligatures w14:val="standardContextual"/>
        </w:rPr>
        <w:fldChar w:fldCharType="end"/>
      </w:r>
      <w:r w:rsidRPr="00C43543">
        <w:rPr>
          <w:szCs w:val="28"/>
          <w14:ligatures w14:val="standardContextual"/>
        </w:rPr>
        <w:t>.</w:t>
      </w:r>
    </w:p>
    <w:p w14:paraId="6506DC09" w14:textId="6AC23FA6" w:rsidR="00DF4DD8" w:rsidRPr="00C43543" w:rsidRDefault="00527E40" w:rsidP="00DF4DD8">
      <w:pPr>
        <w:pStyle w:val="BodyText"/>
        <w:rPr>
          <w:szCs w:val="28"/>
          <w14:ligatures w14:val="standardContextual"/>
        </w:rPr>
      </w:pPr>
      <w:r w:rsidRPr="00C43543">
        <w:rPr>
          <w:szCs w:val="28"/>
          <w14:ligatures w14:val="standardContextual"/>
        </w:rPr>
        <w:t>Here</w:t>
      </w:r>
      <w:r w:rsidR="00DF4DD8" w:rsidRPr="00C43543">
        <w:rPr>
          <w:szCs w:val="28"/>
          <w14:ligatures w14:val="standardContextual"/>
        </w:rPr>
        <w:t xml:space="preserve">, the defendant, also as in </w:t>
      </w:r>
      <w:r w:rsidR="00DF4DD8" w:rsidRPr="00C43543">
        <w:rPr>
          <w:i/>
          <w:szCs w:val="28"/>
          <w14:ligatures w14:val="standardContextual"/>
        </w:rPr>
        <w:t>Singh</w:t>
      </w:r>
      <w:r w:rsidR="00DF4DD8" w:rsidRPr="00C43543">
        <w:rPr>
          <w:szCs w:val="28"/>
          <w14:ligatures w14:val="standardContextual"/>
        </w:rPr>
        <w:t xml:space="preserve">, is an out-of-state company that made its tortious decisions—the “bad behavior” at issue—in their home state. </w:t>
      </w:r>
      <w:r w:rsidR="00DF4DD8" w:rsidRPr="00C43543">
        <w:rPr>
          <w:iCs/>
          <w:szCs w:val="28"/>
          <w14:ligatures w14:val="standardContextual"/>
        </w:rPr>
        <w:t xml:space="preserve">Missouri, just like California in </w:t>
      </w:r>
      <w:r w:rsidR="00DF4DD8" w:rsidRPr="00C43543">
        <w:rPr>
          <w:i/>
          <w:iCs/>
          <w:szCs w:val="28"/>
          <w14:ligatures w14:val="standardContextual"/>
        </w:rPr>
        <w:t>Singh</w:t>
      </w:r>
      <w:r w:rsidR="00DF4DD8" w:rsidRPr="00C43543">
        <w:rPr>
          <w:szCs w:val="28"/>
          <w14:ligatures w14:val="standardContextual"/>
        </w:rPr>
        <w:t xml:space="preserve">, has an “interest in deterring its corporations from engaging in” misconduct. </w:t>
      </w:r>
      <w:r w:rsidR="00DF4DD8" w:rsidRPr="00C43543">
        <w:rPr>
          <w:i/>
          <w:iCs/>
          <w:szCs w:val="28"/>
          <w14:ligatures w14:val="standardContextual"/>
        </w:rPr>
        <w:t>Singh</w:t>
      </w:r>
      <w:r w:rsidR="00DF4DD8" w:rsidRPr="00C43543">
        <w:rPr>
          <w:szCs w:val="28"/>
          <w14:ligatures w14:val="standardContextual"/>
        </w:rPr>
        <w:t xml:space="preserve">, 151 </w:t>
      </w:r>
      <w:proofErr w:type="spellStart"/>
      <w:r w:rsidR="00DF4DD8" w:rsidRPr="00C43543">
        <w:rPr>
          <w:szCs w:val="28"/>
          <w14:ligatures w14:val="standardContextual"/>
        </w:rPr>
        <w:t>Wn</w:t>
      </w:r>
      <w:proofErr w:type="spellEnd"/>
      <w:r w:rsidR="00DF4DD8" w:rsidRPr="00C43543">
        <w:rPr>
          <w:szCs w:val="28"/>
          <w14:ligatures w14:val="standardContextual"/>
        </w:rPr>
        <w:t>. App. at 14</w:t>
      </w:r>
      <w:r w:rsidR="009058E3" w:rsidRPr="00C43543">
        <w:rPr>
          <w:szCs w:val="28"/>
          <w14:ligatures w14:val="standardContextual"/>
        </w:rPr>
        <w:t>8</w:t>
      </w:r>
      <w:r w:rsidR="004225A6" w:rsidRPr="00C43543">
        <w:rPr>
          <w:szCs w:val="28"/>
          <w14:ligatures w14:val="standardContextual"/>
        </w:rPr>
        <w:fldChar w:fldCharType="begin"/>
      </w:r>
      <w:r w:rsidR="004225A6" w:rsidRPr="00C43543">
        <w:rPr>
          <w:szCs w:val="28"/>
          <w14:ligatures w14:val="standardContextual"/>
        </w:rPr>
        <w:instrText xml:space="preserve"> TA \s "Singh, 151 Wn. App. 137" </w:instrText>
      </w:r>
      <w:r w:rsidR="004225A6" w:rsidRPr="00C43543">
        <w:rPr>
          <w:szCs w:val="28"/>
          <w14:ligatures w14:val="standardContextual"/>
        </w:rPr>
        <w:fldChar w:fldCharType="end"/>
      </w:r>
      <w:r w:rsidR="00DF4DD8" w:rsidRPr="00C43543">
        <w:rPr>
          <w:szCs w:val="28"/>
          <w14:ligatures w14:val="standardContextual"/>
        </w:rPr>
        <w:t>.</w:t>
      </w:r>
      <w:r w:rsidR="00DF4DD8" w:rsidRPr="00C43543">
        <w:rPr>
          <w:i/>
          <w:iCs/>
          <w:szCs w:val="28"/>
          <w14:ligatures w14:val="standardContextual"/>
        </w:rPr>
        <w:t xml:space="preserve"> </w:t>
      </w:r>
      <w:r w:rsidR="00DF4DD8" w:rsidRPr="00C43543">
        <w:rPr>
          <w:szCs w:val="28"/>
          <w14:ligatures w14:val="standardContextual"/>
        </w:rPr>
        <w:t xml:space="preserve">As Monsanto recognizes, “the purpose of punitive damages” under Missouri law is “to punish a defendant for an aggravated act of misconduct and to deter similar conduct in the future.” </w:t>
      </w:r>
      <w:r w:rsidR="00DF4DD8" w:rsidRPr="00C43543">
        <w:rPr>
          <w:i/>
          <w:iCs/>
          <w:szCs w:val="28"/>
          <w14:ligatures w14:val="standardContextual"/>
        </w:rPr>
        <w:t>Rinker v. Ford Motor Co.</w:t>
      </w:r>
      <w:r w:rsidR="00DF4DD8" w:rsidRPr="00C43543">
        <w:rPr>
          <w:szCs w:val="28"/>
          <w14:ligatures w14:val="standardContextual"/>
        </w:rPr>
        <w:t>, 567 S.W.2d 655, 668 (Mo. App. 1978)</w:t>
      </w:r>
      <w:r w:rsidR="004225A6" w:rsidRPr="00C43543">
        <w:rPr>
          <w:szCs w:val="28"/>
          <w14:ligatures w14:val="standardContextual"/>
        </w:rPr>
        <w:fldChar w:fldCharType="begin"/>
      </w:r>
      <w:r w:rsidR="004225A6" w:rsidRPr="00C43543">
        <w:rPr>
          <w:szCs w:val="28"/>
          <w14:ligatures w14:val="standardContextual"/>
        </w:rPr>
        <w:instrText xml:space="preserve"> TA \l "</w:instrText>
      </w:r>
      <w:r w:rsidR="004225A6" w:rsidRPr="00C43543">
        <w:rPr>
          <w:i/>
          <w:iCs/>
          <w:szCs w:val="28"/>
          <w14:ligatures w14:val="standardContextual"/>
        </w:rPr>
        <w:instrText>Rinker v. Ford Motor Co.</w:instrText>
      </w:r>
      <w:r w:rsidR="004225A6" w:rsidRPr="00C43543">
        <w:rPr>
          <w:szCs w:val="28"/>
          <w14:ligatures w14:val="standardContextual"/>
        </w:rPr>
        <w:instrText>,</w:instrText>
      </w:r>
      <w:r w:rsidR="004225A6" w:rsidRPr="00C43543">
        <w:rPr>
          <w:szCs w:val="28"/>
          <w14:ligatures w14:val="standardContextual"/>
        </w:rPr>
        <w:br/>
        <w:instrText xml:space="preserve">567 S.W.2d 655 (Mo. App. 1978)" \s "Rinker v. Ford, 567 S.W.2d 655" \c 1 </w:instrText>
      </w:r>
      <w:r w:rsidR="004225A6" w:rsidRPr="00C43543">
        <w:rPr>
          <w:szCs w:val="28"/>
          <w14:ligatures w14:val="standardContextual"/>
        </w:rPr>
        <w:fldChar w:fldCharType="end"/>
      </w:r>
      <w:r w:rsidR="00DF4DD8" w:rsidRPr="00C43543">
        <w:rPr>
          <w:szCs w:val="28"/>
          <w14:ligatures w14:val="standardContextual"/>
        </w:rPr>
        <w:t xml:space="preserve">. And where, as here, “the primary purpose of the tort rule involved is to deter or punish misconduct” rather than “to compensate the victim for his injuries,” “the state where the conduct took place” typically has the “dominant interest and thus [the] most significant relationship.” </w:t>
      </w:r>
      <w:r w:rsidR="00DF4DD8" w:rsidRPr="00C43543">
        <w:rPr>
          <w:i/>
          <w:iCs/>
          <w:szCs w:val="28"/>
          <w14:ligatures w14:val="standardContextual"/>
        </w:rPr>
        <w:t xml:space="preserve">Barr v. </w:t>
      </w:r>
      <w:proofErr w:type="spellStart"/>
      <w:r w:rsidR="00DF4DD8" w:rsidRPr="00C43543">
        <w:rPr>
          <w:i/>
          <w:iCs/>
          <w:szCs w:val="28"/>
          <w14:ligatures w14:val="standardContextual"/>
        </w:rPr>
        <w:t>Interbay</w:t>
      </w:r>
      <w:proofErr w:type="spellEnd"/>
      <w:r w:rsidR="00DF4DD8" w:rsidRPr="00C43543">
        <w:rPr>
          <w:i/>
          <w:iCs/>
          <w:szCs w:val="28"/>
          <w14:ligatures w14:val="standardContextual"/>
        </w:rPr>
        <w:t xml:space="preserve"> Citizens Bank</w:t>
      </w:r>
      <w:r w:rsidR="00DF4DD8" w:rsidRPr="00C43543">
        <w:rPr>
          <w:szCs w:val="28"/>
          <w14:ligatures w14:val="standardContextual"/>
        </w:rPr>
        <w:t xml:space="preserve">, </w:t>
      </w:r>
      <w:r w:rsidR="00DF4DD8" w:rsidRPr="00C43543">
        <w:rPr>
          <w:szCs w:val="28"/>
          <w14:ligatures w14:val="standardContextual"/>
        </w:rPr>
        <w:lastRenderedPageBreak/>
        <w:t>96 Wn.2d 692, 698</w:t>
      </w:r>
      <w:r w:rsidR="00681EC5" w:rsidRPr="00C43543">
        <w:rPr>
          <w:szCs w:val="28"/>
          <w14:ligatures w14:val="standardContextual"/>
        </w:rPr>
        <w:t>, 649 P.2d 827</w:t>
      </w:r>
      <w:r w:rsidR="00DF4DD8" w:rsidRPr="00C43543">
        <w:rPr>
          <w:szCs w:val="28"/>
          <w14:ligatures w14:val="standardContextual"/>
        </w:rPr>
        <w:t xml:space="preserve"> (1982)</w:t>
      </w:r>
      <w:r w:rsidR="004225A6" w:rsidRPr="00C43543">
        <w:rPr>
          <w:szCs w:val="28"/>
          <w14:ligatures w14:val="standardContextual"/>
        </w:rPr>
        <w:fldChar w:fldCharType="begin"/>
      </w:r>
      <w:r w:rsidR="004225A6" w:rsidRPr="00C43543">
        <w:rPr>
          <w:szCs w:val="28"/>
          <w14:ligatures w14:val="standardContextual"/>
        </w:rPr>
        <w:instrText xml:space="preserve"> TA \l "</w:instrText>
      </w:r>
      <w:r w:rsidR="004225A6" w:rsidRPr="00C43543">
        <w:rPr>
          <w:i/>
          <w:iCs/>
          <w:szCs w:val="28"/>
          <w14:ligatures w14:val="standardContextual"/>
        </w:rPr>
        <w:instrText>Barr v. Interbay Citizens Bank</w:instrText>
      </w:r>
      <w:r w:rsidR="004225A6" w:rsidRPr="00C43543">
        <w:rPr>
          <w:szCs w:val="28"/>
          <w14:ligatures w14:val="standardContextual"/>
        </w:rPr>
        <w:instrText>,</w:instrText>
      </w:r>
      <w:r w:rsidR="004225A6" w:rsidRPr="00C43543">
        <w:rPr>
          <w:szCs w:val="28"/>
          <w14:ligatures w14:val="standardContextual"/>
        </w:rPr>
        <w:br/>
        <w:instrText xml:space="preserve">96 Wn.2d 692, 649 P.2d 827 (1982)" \s "Barr v. Interbay, 96 Wn.2d 692" \c 1 </w:instrText>
      </w:r>
      <w:r w:rsidR="004225A6" w:rsidRPr="00C43543">
        <w:rPr>
          <w:szCs w:val="28"/>
          <w14:ligatures w14:val="standardContextual"/>
        </w:rPr>
        <w:fldChar w:fldCharType="end"/>
      </w:r>
      <w:r w:rsidR="00DF4DD8" w:rsidRPr="00C43543">
        <w:rPr>
          <w:szCs w:val="28"/>
          <w14:ligatures w14:val="standardContextual"/>
        </w:rPr>
        <w:t xml:space="preserve"> (quoting Restatement (Second) of Conflict of Laws § 145, </w:t>
      </w:r>
      <w:proofErr w:type="spellStart"/>
      <w:r w:rsidR="00DF4DD8" w:rsidRPr="00C43543">
        <w:rPr>
          <w:szCs w:val="28"/>
          <w14:ligatures w14:val="standardContextual"/>
        </w:rPr>
        <w:t>cmt</w:t>
      </w:r>
      <w:proofErr w:type="spellEnd"/>
      <w:r w:rsidR="00DF4DD8" w:rsidRPr="00C43543">
        <w:rPr>
          <w:szCs w:val="28"/>
          <w14:ligatures w14:val="standardContextual"/>
        </w:rPr>
        <w:t>. c</w:t>
      </w:r>
      <w:r w:rsidR="004225A6" w:rsidRPr="00C43543">
        <w:rPr>
          <w:szCs w:val="28"/>
          <w14:ligatures w14:val="standardContextual"/>
        </w:rPr>
        <w:fldChar w:fldCharType="begin"/>
      </w:r>
      <w:r w:rsidR="004225A6" w:rsidRPr="00C43543">
        <w:rPr>
          <w:szCs w:val="28"/>
          <w14:ligatures w14:val="standardContextual"/>
        </w:rPr>
        <w:instrText xml:space="preserve"> TA \s "Restatement (Second) of Conflict of Laws § 145" </w:instrText>
      </w:r>
      <w:r w:rsidR="004225A6" w:rsidRPr="00C43543">
        <w:rPr>
          <w:szCs w:val="28"/>
          <w14:ligatures w14:val="standardContextual"/>
        </w:rPr>
        <w:fldChar w:fldCharType="end"/>
      </w:r>
      <w:r w:rsidR="00DF4DD8" w:rsidRPr="00C43543">
        <w:rPr>
          <w:szCs w:val="28"/>
          <w14:ligatures w14:val="standardContextual"/>
        </w:rPr>
        <w:t xml:space="preserve">). </w:t>
      </w:r>
    </w:p>
    <w:p w14:paraId="533438F5" w14:textId="2C400B49" w:rsidR="00DF4DD8" w:rsidRPr="00C43543" w:rsidRDefault="00DF4DD8" w:rsidP="00DF4DD8">
      <w:pPr>
        <w:pStyle w:val="BodyText"/>
        <w:rPr>
          <w:szCs w:val="28"/>
          <w14:ligatures w14:val="standardContextual"/>
        </w:rPr>
      </w:pPr>
      <w:r w:rsidRPr="00C43543">
        <w:rPr>
          <w:szCs w:val="28"/>
          <w14:ligatures w14:val="standardContextual"/>
        </w:rPr>
        <w:t>The most “significant factor” in a punitive</w:t>
      </w:r>
      <w:r w:rsidR="005125C7">
        <w:rPr>
          <w:szCs w:val="28"/>
          <w14:ligatures w14:val="standardContextual"/>
        </w:rPr>
        <w:t>-</w:t>
      </w:r>
      <w:r w:rsidRPr="00C43543">
        <w:rPr>
          <w:szCs w:val="28"/>
          <w14:ligatures w14:val="standardContextual"/>
        </w:rPr>
        <w:t xml:space="preserve">damages case is thus “the jurisdiction in which the bad behavior </w:t>
      </w:r>
      <w:r w:rsidR="00E47F39" w:rsidRPr="00C43543">
        <w:rPr>
          <w:iCs/>
          <w:szCs w:val="28"/>
          <w14:ligatures w14:val="standardContextual"/>
        </w:rPr>
        <w:t xml:space="preserve">. . . </w:t>
      </w:r>
      <w:r w:rsidRPr="00C43543">
        <w:rPr>
          <w:szCs w:val="28"/>
          <w14:ligatures w14:val="standardContextual"/>
        </w:rPr>
        <w:t xml:space="preserve">occurred.” </w:t>
      </w:r>
      <w:r w:rsidRPr="00C43543">
        <w:rPr>
          <w:i/>
          <w:szCs w:val="28"/>
          <w14:ligatures w14:val="standardContextual"/>
        </w:rPr>
        <w:t>Singh</w:t>
      </w:r>
      <w:r w:rsidRPr="00C43543">
        <w:rPr>
          <w:szCs w:val="28"/>
          <w14:ligatures w14:val="standardContextual"/>
        </w:rPr>
        <w:t xml:space="preserve">, 151 </w:t>
      </w:r>
      <w:proofErr w:type="spellStart"/>
      <w:r w:rsidRPr="00C43543">
        <w:rPr>
          <w:szCs w:val="28"/>
          <w14:ligatures w14:val="standardContextual"/>
        </w:rPr>
        <w:t>Wn</w:t>
      </w:r>
      <w:proofErr w:type="spellEnd"/>
      <w:r w:rsidRPr="00C43543">
        <w:rPr>
          <w:szCs w:val="28"/>
          <w14:ligatures w14:val="standardContextual"/>
        </w:rPr>
        <w:t>. App. at 145</w:t>
      </w:r>
      <w:r w:rsidR="004225A6" w:rsidRPr="00C43543">
        <w:rPr>
          <w:szCs w:val="28"/>
          <w14:ligatures w14:val="standardContextual"/>
        </w:rPr>
        <w:fldChar w:fldCharType="begin"/>
      </w:r>
      <w:r w:rsidR="004225A6" w:rsidRPr="00C43543">
        <w:rPr>
          <w:szCs w:val="28"/>
          <w14:ligatures w14:val="standardContextual"/>
        </w:rPr>
        <w:instrText xml:space="preserve"> TA \s "Singh, 151 Wn. App. 137" </w:instrText>
      </w:r>
      <w:r w:rsidR="004225A6" w:rsidRPr="00C43543">
        <w:rPr>
          <w:szCs w:val="28"/>
          <w14:ligatures w14:val="standardContextual"/>
        </w:rPr>
        <w:fldChar w:fldCharType="end"/>
      </w:r>
      <w:r w:rsidRPr="00C43543">
        <w:rPr>
          <w:szCs w:val="28"/>
          <w14:ligatures w14:val="standardContextual"/>
        </w:rPr>
        <w:t xml:space="preserve">. And where, as here, “an entity headquartered in [Missouri] committed the conduct in [Missouri] that resulted in the plaintiff’s damages,” Missouri has “the greater interest in deterring such fraudulent activities.” </w:t>
      </w:r>
      <w:r w:rsidR="005125C7">
        <w:rPr>
          <w:i/>
          <w:szCs w:val="28"/>
          <w14:ligatures w14:val="standardContextual"/>
        </w:rPr>
        <w:t>Id.</w:t>
      </w:r>
      <w:r w:rsidR="00EC6F37" w:rsidRPr="00C43543">
        <w:rPr>
          <w:szCs w:val="28"/>
          <w14:ligatures w14:val="standardContextual"/>
        </w:rPr>
        <w:t xml:space="preserve"> at 140</w:t>
      </w:r>
      <w:r w:rsidR="004225A6" w:rsidRPr="00C43543">
        <w:rPr>
          <w:szCs w:val="28"/>
          <w14:ligatures w14:val="standardContextual"/>
        </w:rPr>
        <w:fldChar w:fldCharType="begin"/>
      </w:r>
      <w:r w:rsidR="004225A6" w:rsidRPr="00C43543">
        <w:rPr>
          <w:szCs w:val="28"/>
          <w14:ligatures w14:val="standardContextual"/>
        </w:rPr>
        <w:instrText xml:space="preserve"> TA \s "Singh, 151 Wn. App. 137" </w:instrText>
      </w:r>
      <w:r w:rsidR="004225A6" w:rsidRPr="00C43543">
        <w:rPr>
          <w:szCs w:val="28"/>
          <w14:ligatures w14:val="standardContextual"/>
        </w:rPr>
        <w:fldChar w:fldCharType="end"/>
      </w:r>
      <w:r w:rsidR="00EC6F37" w:rsidRPr="00C43543">
        <w:rPr>
          <w:szCs w:val="28"/>
          <w14:ligatures w14:val="standardContextual"/>
        </w:rPr>
        <w:t xml:space="preserve">; </w:t>
      </w:r>
      <w:r w:rsidR="00EC6F37" w:rsidRPr="00C43543">
        <w:rPr>
          <w:i/>
          <w:iCs/>
          <w:szCs w:val="28"/>
          <w14:ligatures w14:val="standardContextual"/>
        </w:rPr>
        <w:t>see also Bryant</w:t>
      </w:r>
      <w:r w:rsidR="004225A6" w:rsidRPr="00C43543">
        <w:rPr>
          <w:i/>
          <w:iCs/>
          <w:szCs w:val="28"/>
          <w14:ligatures w14:val="standardContextual"/>
        </w:rPr>
        <w:t xml:space="preserve"> v. Wyeth</w:t>
      </w:r>
      <w:r w:rsidR="00EC6F37" w:rsidRPr="00C43543">
        <w:rPr>
          <w:szCs w:val="28"/>
          <w14:ligatures w14:val="standardContextual"/>
        </w:rPr>
        <w:t>, 879 F. Supp. 2d</w:t>
      </w:r>
      <w:r w:rsidR="004225A6" w:rsidRPr="00C43543">
        <w:rPr>
          <w:szCs w:val="28"/>
          <w14:ligatures w14:val="standardContextual"/>
        </w:rPr>
        <w:t xml:space="preserve"> 1214,</w:t>
      </w:r>
      <w:r w:rsidR="00EC6F37" w:rsidRPr="00C43543">
        <w:rPr>
          <w:szCs w:val="28"/>
          <w14:ligatures w14:val="standardContextual"/>
        </w:rPr>
        <w:t xml:space="preserve"> 1222</w:t>
      </w:r>
      <w:r w:rsidR="004225A6" w:rsidRPr="00C43543">
        <w:rPr>
          <w:szCs w:val="28"/>
          <w14:ligatures w14:val="standardContextual"/>
        </w:rPr>
        <w:t xml:space="preserve"> (W.D. Wash. 2012)</w:t>
      </w:r>
      <w:r w:rsidR="004225A6" w:rsidRPr="00C43543">
        <w:rPr>
          <w:szCs w:val="28"/>
          <w14:ligatures w14:val="standardContextual"/>
        </w:rPr>
        <w:fldChar w:fldCharType="begin"/>
      </w:r>
      <w:r w:rsidR="004225A6" w:rsidRPr="00C43543">
        <w:rPr>
          <w:szCs w:val="28"/>
          <w14:ligatures w14:val="standardContextual"/>
        </w:rPr>
        <w:instrText xml:space="preserve"> TA \l "</w:instrText>
      </w:r>
      <w:r w:rsidR="004225A6" w:rsidRPr="00C43543">
        <w:rPr>
          <w:i/>
          <w:iCs/>
          <w:szCs w:val="28"/>
          <w14:ligatures w14:val="standardContextual"/>
        </w:rPr>
        <w:instrText>Bryant v. Wyeth</w:instrText>
      </w:r>
      <w:r w:rsidR="004225A6" w:rsidRPr="00C43543">
        <w:rPr>
          <w:szCs w:val="28"/>
          <w14:ligatures w14:val="standardContextual"/>
        </w:rPr>
        <w:instrText>,</w:instrText>
      </w:r>
      <w:r w:rsidR="004225A6" w:rsidRPr="00C43543">
        <w:rPr>
          <w:szCs w:val="28"/>
          <w14:ligatures w14:val="standardContextual"/>
        </w:rPr>
        <w:br/>
        <w:instrText xml:space="preserve">879 F. Supp. 2d 1214 (W.D. Wash. 2012)" \s "Bryant v. Wyeth, 879 F. Supp. 2d 1214" \c 1 </w:instrText>
      </w:r>
      <w:r w:rsidR="004225A6" w:rsidRPr="00C43543">
        <w:rPr>
          <w:szCs w:val="28"/>
          <w14:ligatures w14:val="standardContextual"/>
        </w:rPr>
        <w:fldChar w:fldCharType="end"/>
      </w:r>
      <w:r w:rsidR="00EC6F37" w:rsidRPr="00C43543">
        <w:rPr>
          <w:szCs w:val="28"/>
          <w14:ligatures w14:val="standardContextual"/>
        </w:rPr>
        <w:t xml:space="preserve"> </w:t>
      </w:r>
      <w:r w:rsidRPr="00C43543">
        <w:rPr>
          <w:szCs w:val="28"/>
          <w14:ligatures w14:val="standardContextual"/>
        </w:rPr>
        <w:t>(“The place of injury is therefore fortuitous, shifting the focus to the location where the conduct causing the harm occurred.”).</w:t>
      </w:r>
    </w:p>
    <w:p w14:paraId="1579FA3B" w14:textId="77A95E61" w:rsidR="00DF4DD8" w:rsidRPr="00C43543" w:rsidRDefault="00BD102B" w:rsidP="00DF4DD8">
      <w:pPr>
        <w:pStyle w:val="BodyText"/>
        <w:rPr>
          <w:szCs w:val="28"/>
          <w14:ligatures w14:val="standardContextual"/>
        </w:rPr>
      </w:pPr>
      <w:r w:rsidRPr="00C43543">
        <w:rPr>
          <w:b/>
          <w:i/>
          <w:iCs/>
          <w:szCs w:val="28"/>
          <w14:ligatures w14:val="standardContextual"/>
        </w:rPr>
        <w:t xml:space="preserve">2. Monsanto’s attempt to distinguish </w:t>
      </w:r>
      <w:r w:rsidRPr="00C43543">
        <w:rPr>
          <w:b/>
          <w:szCs w:val="28"/>
          <w14:ligatures w14:val="standardContextual"/>
        </w:rPr>
        <w:t>Singh</w:t>
      </w:r>
      <w:r w:rsidR="00CA2BA8" w:rsidRPr="00C43543">
        <w:rPr>
          <w:b/>
          <w:szCs w:val="28"/>
          <w14:ligatures w14:val="standardContextual"/>
        </w:rPr>
        <w:t>.</w:t>
      </w:r>
      <w:r w:rsidRPr="00C43543">
        <w:rPr>
          <w:szCs w:val="28"/>
          <w14:ligatures w14:val="standardContextual"/>
        </w:rPr>
        <w:t xml:space="preserve"> </w:t>
      </w:r>
      <w:r w:rsidR="00DF4DD8" w:rsidRPr="00C43543">
        <w:rPr>
          <w:szCs w:val="28"/>
          <w14:ligatures w14:val="standardContextual"/>
        </w:rPr>
        <w:t xml:space="preserve">Recognizing the importance of </w:t>
      </w:r>
      <w:r w:rsidR="00DF4DD8" w:rsidRPr="00C43543">
        <w:rPr>
          <w:i/>
          <w:iCs/>
          <w:szCs w:val="28"/>
          <w14:ligatures w14:val="standardContextual"/>
        </w:rPr>
        <w:t>Singh</w:t>
      </w:r>
      <w:r w:rsidR="00DF4DD8" w:rsidRPr="00C43543">
        <w:rPr>
          <w:szCs w:val="28"/>
          <w14:ligatures w14:val="standardContextual"/>
        </w:rPr>
        <w:t>, Monsanto spends several pages attempting to distinguish the case on its facts. The gist of its argument</w:t>
      </w:r>
      <w:r w:rsidR="00EC6F37" w:rsidRPr="00C43543">
        <w:rPr>
          <w:szCs w:val="28"/>
          <w14:ligatures w14:val="standardContextual"/>
        </w:rPr>
        <w:t xml:space="preserve"> (at 206)</w:t>
      </w:r>
      <w:r w:rsidR="00DF4DD8" w:rsidRPr="00C43543">
        <w:rPr>
          <w:szCs w:val="28"/>
          <w14:ligatures w14:val="standardContextual"/>
        </w:rPr>
        <w:t xml:space="preserve"> is that, unlike the defendant in </w:t>
      </w:r>
      <w:r w:rsidR="00DF4DD8" w:rsidRPr="00C43543">
        <w:rPr>
          <w:i/>
          <w:iCs/>
          <w:szCs w:val="28"/>
          <w14:ligatures w14:val="standardContextual"/>
        </w:rPr>
        <w:t>Singh</w:t>
      </w:r>
      <w:r w:rsidR="00DF4DD8" w:rsidRPr="00C43543">
        <w:rPr>
          <w:szCs w:val="28"/>
          <w14:ligatures w14:val="standardContextual"/>
        </w:rPr>
        <w:t xml:space="preserve">, “Monsanto </w:t>
      </w:r>
      <w:r w:rsidR="00DF4DD8" w:rsidRPr="00C43543">
        <w:rPr>
          <w:i/>
          <w:iCs/>
          <w:szCs w:val="28"/>
          <w14:ligatures w14:val="standardContextual"/>
        </w:rPr>
        <w:t xml:space="preserve">did not </w:t>
      </w:r>
      <w:r w:rsidR="00DF4DD8" w:rsidRPr="00C43543">
        <w:rPr>
          <w:szCs w:val="28"/>
          <w14:ligatures w14:val="standardContextual"/>
        </w:rPr>
        <w:t xml:space="preserve">sell a defective product in Washington” and “had no contact with </w:t>
      </w:r>
      <w:r w:rsidR="00E47F39" w:rsidRPr="00C43543">
        <w:rPr>
          <w:iCs/>
          <w:szCs w:val="28"/>
          <w14:ligatures w14:val="standardContextual"/>
        </w:rPr>
        <w:t xml:space="preserve">. . . </w:t>
      </w:r>
      <w:r w:rsidR="00DF4DD8" w:rsidRPr="00C43543">
        <w:rPr>
          <w:szCs w:val="28"/>
          <w14:ligatures w14:val="standardContextual"/>
        </w:rPr>
        <w:t xml:space="preserve">any </w:t>
      </w:r>
      <w:r w:rsidR="00EC6F37" w:rsidRPr="00C43543">
        <w:rPr>
          <w:szCs w:val="28"/>
          <w14:ligatures w14:val="standardContextual"/>
        </w:rPr>
        <w:t xml:space="preserve">other </w:t>
      </w:r>
      <w:r w:rsidR="00DF4DD8" w:rsidRPr="00C43543">
        <w:rPr>
          <w:szCs w:val="28"/>
          <w14:ligatures w14:val="standardContextual"/>
        </w:rPr>
        <w:t xml:space="preserve">Washington entity with control over the [products] that allegedly injured plaintiffs.” But this cuts </w:t>
      </w:r>
      <w:r w:rsidR="00DF4DD8" w:rsidRPr="00C43543">
        <w:rPr>
          <w:i/>
          <w:iCs/>
          <w:szCs w:val="28"/>
          <w14:ligatures w14:val="standardContextual"/>
        </w:rPr>
        <w:t xml:space="preserve">against </w:t>
      </w:r>
      <w:r w:rsidR="00DF4DD8" w:rsidRPr="00C43543">
        <w:rPr>
          <w:szCs w:val="28"/>
          <w14:ligatures w14:val="standardContextual"/>
        </w:rPr>
        <w:t xml:space="preserve">Monsanto, not in favor of it. That Monsanto had little or no direct contact with Washington demonstrates how little interest the state has in </w:t>
      </w:r>
      <w:r w:rsidR="00DF4DD8" w:rsidRPr="00C43543">
        <w:rPr>
          <w:szCs w:val="28"/>
          <w14:ligatures w14:val="standardContextual"/>
        </w:rPr>
        <w:lastRenderedPageBreak/>
        <w:t xml:space="preserve">applying its punitive-damages policy. The “only [Washington] contacts were the residence of the [plaintiffs] and the fact that [Monsanto’s] product was ultimately purchased and used” there. </w:t>
      </w:r>
      <w:r w:rsidR="00DF4DD8" w:rsidRPr="00C43543">
        <w:rPr>
          <w:i/>
          <w:iCs/>
          <w:szCs w:val="28"/>
          <w14:ligatures w14:val="standardContextual"/>
        </w:rPr>
        <w:t>Zenaida-Garcia</w:t>
      </w:r>
      <w:r w:rsidR="00DF4DD8" w:rsidRPr="00C43543">
        <w:rPr>
          <w:szCs w:val="28"/>
          <w14:ligatures w14:val="standardContextual"/>
        </w:rPr>
        <w:t xml:space="preserve">, 128 </w:t>
      </w:r>
      <w:proofErr w:type="spellStart"/>
      <w:r w:rsidR="00DF4DD8" w:rsidRPr="00C43543">
        <w:rPr>
          <w:szCs w:val="28"/>
          <w14:ligatures w14:val="standardContextual"/>
        </w:rPr>
        <w:t>Wn</w:t>
      </w:r>
      <w:proofErr w:type="spellEnd"/>
      <w:r w:rsidR="00DF4DD8" w:rsidRPr="00C43543">
        <w:rPr>
          <w:szCs w:val="28"/>
          <w14:ligatures w14:val="standardContextual"/>
        </w:rPr>
        <w:t>. App. at 262</w:t>
      </w:r>
      <w:r w:rsidR="004225A6" w:rsidRPr="00C43543">
        <w:rPr>
          <w:szCs w:val="28"/>
          <w14:ligatures w14:val="standardContextual"/>
        </w:rPr>
        <w:fldChar w:fldCharType="begin"/>
      </w:r>
      <w:r w:rsidR="004225A6" w:rsidRPr="00C43543">
        <w:rPr>
          <w:szCs w:val="28"/>
          <w14:ligatures w14:val="standardContextual"/>
        </w:rPr>
        <w:instrText xml:space="preserve"> TA \s "Zenaida-Garcia, 128 Wn. App. 256" </w:instrText>
      </w:r>
      <w:r w:rsidR="004225A6" w:rsidRPr="00C43543">
        <w:rPr>
          <w:szCs w:val="28"/>
          <w14:ligatures w14:val="standardContextual"/>
        </w:rPr>
        <w:fldChar w:fldCharType="end"/>
      </w:r>
      <w:r w:rsidR="00DF4DD8" w:rsidRPr="00C43543">
        <w:rPr>
          <w:szCs w:val="28"/>
          <w14:ligatures w14:val="standardContextual"/>
        </w:rPr>
        <w:t xml:space="preserve">. Monsanto’s contacts with Washington “with respect to this particular issue are virtually nonexistent.” </w:t>
      </w:r>
      <w:r w:rsidR="00DF4DD8" w:rsidRPr="00C43543">
        <w:rPr>
          <w:i/>
          <w:iCs/>
          <w:szCs w:val="28"/>
          <w14:ligatures w14:val="standardContextual"/>
        </w:rPr>
        <w:t>Id.</w:t>
      </w:r>
      <w:r w:rsidR="004225A6" w:rsidRPr="00C43543">
        <w:rPr>
          <w:i/>
          <w:iCs/>
          <w:szCs w:val="28"/>
          <w14:ligatures w14:val="standardContextual"/>
        </w:rPr>
        <w:fldChar w:fldCharType="begin"/>
      </w:r>
      <w:r w:rsidR="004225A6" w:rsidRPr="00C43543">
        <w:rPr>
          <w:szCs w:val="28"/>
          <w14:ligatures w14:val="standardContextual"/>
        </w:rPr>
        <w:instrText xml:space="preserve"> TA \s "Zenaida-Garcia, 128 Wn. App. 256" </w:instrText>
      </w:r>
      <w:r w:rsidR="004225A6" w:rsidRPr="00C43543">
        <w:rPr>
          <w:i/>
          <w:iCs/>
          <w:szCs w:val="28"/>
          <w14:ligatures w14:val="standardContextual"/>
        </w:rPr>
        <w:fldChar w:fldCharType="end"/>
      </w:r>
    </w:p>
    <w:p w14:paraId="03815A24" w14:textId="6F4DE2F7" w:rsidR="00DF4DD8" w:rsidRPr="00C43543" w:rsidRDefault="00DF4DD8" w:rsidP="00DF4DD8">
      <w:pPr>
        <w:pStyle w:val="BodyText"/>
        <w:tabs>
          <w:tab w:val="left" w:pos="1080"/>
        </w:tabs>
        <w:rPr>
          <w:rFonts w:eastAsiaTheme="minorHAnsi"/>
          <w:szCs w:val="28"/>
          <w14:ligatures w14:val="standardContextual"/>
        </w:rPr>
      </w:pPr>
      <w:r w:rsidRPr="00C43543">
        <w:rPr>
          <w:rFonts w:eastAsiaTheme="minorHAnsi"/>
          <w:szCs w:val="28"/>
          <w14:ligatures w14:val="standardContextual"/>
        </w:rPr>
        <w:t xml:space="preserve">Monsanto also argues (at 197) that the legislature foreclosed an award of punitive damages by making the WPLA the exclusive remedy in product-liability cases. But the WPLA provides an exclusive remedy only under </w:t>
      </w:r>
      <w:r w:rsidRPr="00C43543">
        <w:rPr>
          <w:rFonts w:eastAsiaTheme="minorHAnsi"/>
          <w:i/>
          <w:iCs/>
          <w:szCs w:val="28"/>
          <w14:ligatures w14:val="standardContextual"/>
        </w:rPr>
        <w:t xml:space="preserve">Washington </w:t>
      </w:r>
      <w:r w:rsidRPr="00C43543">
        <w:rPr>
          <w:rFonts w:eastAsiaTheme="minorHAnsi"/>
          <w:szCs w:val="28"/>
          <w14:ligatures w14:val="standardContextual"/>
        </w:rPr>
        <w:t xml:space="preserve">law. Monsanto cites no language in the statute or other evidence to suggest that this exclusive remedy “was intended to have extraterritorial application.” Restatement (Second) of Conflict of Laws § 6, </w:t>
      </w:r>
      <w:proofErr w:type="spellStart"/>
      <w:r w:rsidRPr="00C43543">
        <w:rPr>
          <w:rFonts w:eastAsiaTheme="minorHAnsi"/>
          <w:szCs w:val="28"/>
          <w14:ligatures w14:val="standardContextual"/>
        </w:rPr>
        <w:t>cmt</w:t>
      </w:r>
      <w:proofErr w:type="spellEnd"/>
      <w:r w:rsidRPr="00C43543">
        <w:rPr>
          <w:rFonts w:eastAsiaTheme="minorHAnsi"/>
          <w:szCs w:val="28"/>
          <w14:ligatures w14:val="standardContextual"/>
        </w:rPr>
        <w:t>. e.</w:t>
      </w:r>
      <w:r w:rsidR="009706D6" w:rsidRPr="00C43543">
        <w:rPr>
          <w:rFonts w:eastAsiaTheme="minorHAnsi"/>
          <w:szCs w:val="28"/>
          <w14:ligatures w14:val="standardContextual"/>
        </w:rPr>
        <w:fldChar w:fldCharType="begin"/>
      </w:r>
      <w:r w:rsidR="009706D6" w:rsidRPr="00C43543">
        <w:rPr>
          <w:szCs w:val="28"/>
          <w14:ligatures w14:val="standardContextual"/>
        </w:rPr>
        <w:instrText xml:space="preserve"> TA \s "Restatement (Second) of Conflict of Laws § 6(1)" </w:instrText>
      </w:r>
      <w:r w:rsidR="009706D6" w:rsidRPr="00C43543">
        <w:rPr>
          <w:rFonts w:eastAsiaTheme="minorHAnsi"/>
          <w:szCs w:val="28"/>
          <w14:ligatures w14:val="standardContextual"/>
        </w:rPr>
        <w:fldChar w:fldCharType="end"/>
      </w:r>
    </w:p>
    <w:p w14:paraId="146BCD1B" w14:textId="13571E8F" w:rsidR="00DF4DD8" w:rsidRPr="00C43543" w:rsidRDefault="00DF4DD8" w:rsidP="00DF4DD8">
      <w:pPr>
        <w:pStyle w:val="BodyText"/>
        <w:rPr>
          <w:rFonts w:eastAsiaTheme="minorHAnsi"/>
          <w:i/>
          <w:iCs/>
          <w:szCs w:val="28"/>
          <w14:ligatures w14:val="standardContextual"/>
        </w:rPr>
      </w:pPr>
      <w:r w:rsidRPr="00C43543">
        <w:rPr>
          <w:rFonts w:eastAsiaTheme="minorHAnsi"/>
          <w:szCs w:val="28"/>
          <w14:ligatures w14:val="standardContextual"/>
        </w:rPr>
        <w:t xml:space="preserve">It is true that the WPLA “creates a single cause of action for product-related harms that supplants previously existing common law remedies.” </w:t>
      </w:r>
      <w:r w:rsidR="00765025" w:rsidRPr="00A859B7">
        <w:rPr>
          <w:rFonts w:eastAsiaTheme="minorHAnsi"/>
          <w:i/>
          <w:iCs/>
          <w:szCs w:val="28"/>
          <w14:ligatures w14:val="standardContextual"/>
        </w:rPr>
        <w:t xml:space="preserve">Wash. </w:t>
      </w:r>
      <w:proofErr w:type="gramStart"/>
      <w:r w:rsidR="00765025" w:rsidRPr="00A859B7">
        <w:rPr>
          <w:rFonts w:eastAsiaTheme="minorHAnsi"/>
          <w:i/>
          <w:iCs/>
          <w:szCs w:val="28"/>
          <w14:ligatures w14:val="standardContextual"/>
        </w:rPr>
        <w:t>Water Power</w:t>
      </w:r>
      <w:proofErr w:type="gramEnd"/>
      <w:r w:rsidR="00765025" w:rsidRPr="00A859B7">
        <w:rPr>
          <w:rFonts w:eastAsiaTheme="minorHAnsi"/>
          <w:i/>
          <w:iCs/>
          <w:szCs w:val="28"/>
          <w14:ligatures w14:val="standardContextual"/>
        </w:rPr>
        <w:t xml:space="preserve"> Co. v. Graybar Elec. Co.</w:t>
      </w:r>
      <w:r w:rsidR="00765025" w:rsidRPr="00A859B7">
        <w:rPr>
          <w:rFonts w:eastAsiaTheme="minorHAnsi"/>
          <w:szCs w:val="28"/>
          <w14:ligatures w14:val="standardContextual"/>
        </w:rPr>
        <w:t>, 112 Wn.2d 847, 860, 774 P.2d 1199 (1989)</w:t>
      </w:r>
      <w:r w:rsidR="009706D6" w:rsidRPr="00C43543">
        <w:rPr>
          <w:rFonts w:eastAsiaTheme="minorHAnsi"/>
          <w:szCs w:val="28"/>
          <w14:ligatures w14:val="standardContextual"/>
        </w:rPr>
        <w:fldChar w:fldCharType="begin"/>
      </w:r>
      <w:r w:rsidR="009706D6" w:rsidRPr="00C43543">
        <w:rPr>
          <w:szCs w:val="28"/>
          <w14:ligatures w14:val="standardContextual"/>
        </w:rPr>
        <w:instrText xml:space="preserve"> TA \l "</w:instrText>
      </w:r>
      <w:r w:rsidR="009706D6" w:rsidRPr="00C43543">
        <w:rPr>
          <w:rFonts w:eastAsiaTheme="minorHAnsi"/>
          <w:szCs w:val="28"/>
          <w14:ligatures w14:val="standardContextual"/>
        </w:rPr>
        <w:instrText>Washington Product Liability Act § 1</w:instrText>
      </w:r>
      <w:r w:rsidR="009706D6" w:rsidRPr="00C43543">
        <w:rPr>
          <w:szCs w:val="28"/>
          <w14:ligatures w14:val="standardContextual"/>
        </w:rPr>
        <w:instrText xml:space="preserve">" \s "WPLA § 1" \c 2 </w:instrText>
      </w:r>
      <w:r w:rsidR="009706D6" w:rsidRPr="00C43543">
        <w:rPr>
          <w:rFonts w:eastAsiaTheme="minorHAnsi"/>
          <w:szCs w:val="28"/>
          <w14:ligatures w14:val="standardContextual"/>
        </w:rPr>
        <w:fldChar w:fldCharType="end"/>
      </w:r>
      <w:r w:rsidRPr="00C43543">
        <w:rPr>
          <w:rFonts w:eastAsiaTheme="minorHAnsi"/>
          <w:szCs w:val="28"/>
          <w14:ligatures w14:val="standardContextual"/>
        </w:rPr>
        <w:t>.</w:t>
      </w:r>
      <w:r w:rsidRPr="00C43543">
        <w:rPr>
          <w:rFonts w:eastAsiaTheme="minorHAnsi"/>
          <w:i/>
          <w:iCs/>
          <w:szCs w:val="28"/>
          <w14:ligatures w14:val="standardContextual"/>
        </w:rPr>
        <w:t xml:space="preserve"> </w:t>
      </w:r>
      <w:r w:rsidRPr="00C43543">
        <w:rPr>
          <w:rFonts w:eastAsiaTheme="minorHAnsi"/>
          <w:szCs w:val="28"/>
          <w14:ligatures w14:val="standardContextual"/>
        </w:rPr>
        <w:t xml:space="preserve">The WPLA, however, supplants the remedies previously available under the common-law of </w:t>
      </w:r>
      <w:r w:rsidRPr="00C43543">
        <w:rPr>
          <w:rFonts w:eastAsiaTheme="minorHAnsi"/>
          <w:i/>
          <w:iCs/>
          <w:szCs w:val="28"/>
          <w14:ligatures w14:val="standardContextual"/>
        </w:rPr>
        <w:t>Washington</w:t>
      </w:r>
      <w:r w:rsidRPr="00C43543">
        <w:rPr>
          <w:rFonts w:eastAsiaTheme="minorHAnsi"/>
          <w:szCs w:val="28"/>
          <w14:ligatures w14:val="standardContextual"/>
        </w:rPr>
        <w:t xml:space="preserve">. </w:t>
      </w:r>
      <w:r w:rsidRPr="00C43543">
        <w:rPr>
          <w:rFonts w:eastAsiaTheme="minorHAnsi"/>
          <w:i/>
          <w:iCs/>
          <w:szCs w:val="28"/>
          <w14:ligatures w14:val="standardContextual"/>
        </w:rPr>
        <w:t xml:space="preserve">See </w:t>
      </w:r>
      <w:r w:rsidR="009706D6" w:rsidRPr="00C43543">
        <w:rPr>
          <w:rFonts w:eastAsiaTheme="minorHAnsi"/>
          <w:szCs w:val="28"/>
          <w14:ligatures w14:val="standardContextual"/>
        </w:rPr>
        <w:fldChar w:fldCharType="begin"/>
      </w:r>
      <w:r w:rsidR="009706D6" w:rsidRPr="00C43543">
        <w:rPr>
          <w:szCs w:val="28"/>
          <w14:ligatures w14:val="standardContextual"/>
        </w:rPr>
        <w:instrText xml:space="preserve"> TA \l "</w:instrText>
      </w:r>
      <w:r w:rsidR="009706D6" w:rsidRPr="00C43543">
        <w:rPr>
          <w:rFonts w:eastAsiaTheme="minorHAnsi"/>
          <w:szCs w:val="28"/>
          <w14:ligatures w14:val="standardContextual"/>
        </w:rPr>
        <w:instrText>Washington Water Power Co. v. Graybar Electric Co.,</w:instrText>
      </w:r>
      <w:r w:rsidR="009706D6" w:rsidRPr="00C43543">
        <w:rPr>
          <w:rFonts w:eastAsiaTheme="minorHAnsi"/>
          <w:szCs w:val="28"/>
          <w14:ligatures w14:val="standardContextual"/>
        </w:rPr>
        <w:br/>
        <w:instrText>112 Wn.2d 847, 774 P.2d 1199 (1989)</w:instrText>
      </w:r>
      <w:r w:rsidR="009706D6" w:rsidRPr="00C43543">
        <w:rPr>
          <w:szCs w:val="28"/>
          <w14:ligatures w14:val="standardContextual"/>
        </w:rPr>
        <w:instrText xml:space="preserve">" \s "Wash. Water v. Graybar, 112 Wn.2d 847" \c 1 </w:instrText>
      </w:r>
      <w:r w:rsidR="009706D6" w:rsidRPr="00C43543">
        <w:rPr>
          <w:rFonts w:eastAsiaTheme="minorHAnsi"/>
          <w:szCs w:val="28"/>
          <w14:ligatures w14:val="standardContextual"/>
        </w:rPr>
        <w:fldChar w:fldCharType="end"/>
      </w:r>
      <w:r w:rsidRPr="00C43543">
        <w:rPr>
          <w:rFonts w:eastAsiaTheme="minorHAnsi"/>
          <w:szCs w:val="28"/>
          <w14:ligatures w14:val="standardContextual"/>
        </w:rPr>
        <w:t>RCW 7.72.010</w:t>
      </w:r>
      <w:r w:rsidR="009706D6" w:rsidRPr="00C43543">
        <w:rPr>
          <w:rFonts w:eastAsiaTheme="minorHAnsi"/>
          <w:szCs w:val="28"/>
          <w14:ligatures w14:val="standardContextual"/>
        </w:rPr>
        <w:fldChar w:fldCharType="begin"/>
      </w:r>
      <w:r w:rsidR="009706D6" w:rsidRPr="00C43543">
        <w:rPr>
          <w:szCs w:val="28"/>
          <w14:ligatures w14:val="standardContextual"/>
        </w:rPr>
        <w:instrText xml:space="preserve"> TA \s "RCW § 7.72.010" </w:instrText>
      </w:r>
      <w:r w:rsidR="009706D6" w:rsidRPr="00C43543">
        <w:rPr>
          <w:rFonts w:eastAsiaTheme="minorHAnsi"/>
          <w:szCs w:val="28"/>
          <w14:ligatures w14:val="standardContextual"/>
        </w:rPr>
        <w:fldChar w:fldCharType="end"/>
      </w:r>
      <w:r w:rsidRPr="00C43543">
        <w:rPr>
          <w:rFonts w:eastAsiaTheme="minorHAnsi"/>
          <w:szCs w:val="28"/>
          <w14:ligatures w14:val="standardContextual"/>
        </w:rPr>
        <w:t>. The Act does not purport to</w:t>
      </w:r>
      <w:r w:rsidRPr="00C43543">
        <w:rPr>
          <w:rFonts w:eastAsiaTheme="minorHAnsi"/>
          <w:i/>
          <w:iCs/>
          <w:szCs w:val="28"/>
          <w14:ligatures w14:val="standardContextual"/>
        </w:rPr>
        <w:t xml:space="preserve"> </w:t>
      </w:r>
      <w:r w:rsidRPr="00C43543">
        <w:rPr>
          <w:rFonts w:eastAsiaTheme="minorHAnsi"/>
          <w:szCs w:val="28"/>
          <w14:ligatures w14:val="standardContextual"/>
        </w:rPr>
        <w:t xml:space="preserve">supplant </w:t>
      </w:r>
      <w:r w:rsidRPr="00C43543">
        <w:rPr>
          <w:rFonts w:eastAsiaTheme="minorHAnsi"/>
          <w:i/>
          <w:iCs/>
          <w:szCs w:val="28"/>
          <w14:ligatures w14:val="standardContextual"/>
        </w:rPr>
        <w:t xml:space="preserve">other </w:t>
      </w:r>
      <w:r w:rsidRPr="00C43543">
        <w:rPr>
          <w:rFonts w:eastAsiaTheme="minorHAnsi"/>
          <w:szCs w:val="28"/>
          <w14:ligatures w14:val="standardContextual"/>
        </w:rPr>
        <w:t xml:space="preserve">states’ remedies. Nor does it alter the choice-of-law </w:t>
      </w:r>
      <w:r w:rsidRPr="00C43543">
        <w:rPr>
          <w:rFonts w:eastAsiaTheme="minorHAnsi"/>
          <w:szCs w:val="28"/>
          <w14:ligatures w14:val="standardContextual"/>
        </w:rPr>
        <w:lastRenderedPageBreak/>
        <w:t xml:space="preserve">rules that determine when those remedies apply. </w:t>
      </w:r>
      <w:r w:rsidRPr="00C43543">
        <w:rPr>
          <w:rFonts w:eastAsiaTheme="minorHAnsi"/>
          <w:i/>
          <w:iCs/>
          <w:szCs w:val="28"/>
          <w14:ligatures w14:val="standardContextual"/>
        </w:rPr>
        <w:t>See Perez v. ZTE (U.S.), Inc.</w:t>
      </w:r>
      <w:r w:rsidRPr="00C43543">
        <w:rPr>
          <w:rFonts w:eastAsiaTheme="minorHAnsi"/>
          <w:szCs w:val="28"/>
          <w14:ligatures w14:val="standardContextual"/>
        </w:rPr>
        <w:t xml:space="preserve">, </w:t>
      </w:r>
      <w:r w:rsidR="00E47F39" w:rsidRPr="00C43543">
        <w:rPr>
          <w:rFonts w:eastAsiaTheme="minorHAnsi"/>
          <w:szCs w:val="28"/>
          <w14:ligatures w14:val="standardContextual"/>
        </w:rPr>
        <w:t>2020 WL 3798865</w:t>
      </w:r>
      <w:r w:rsidRPr="00C43543">
        <w:rPr>
          <w:rFonts w:eastAsiaTheme="minorHAnsi"/>
          <w:szCs w:val="28"/>
          <w14:ligatures w14:val="standardContextual"/>
        </w:rPr>
        <w:t>, at *20 (N.D. Tex. July 6, 2020) (rejecting the argument that Texas’s statutory definition of “products liability action” constituted a choice-of-law directive”).</w:t>
      </w:r>
      <w:r w:rsidRPr="00C43543">
        <w:rPr>
          <w:rStyle w:val="FootnoteReference"/>
          <w:rFonts w:eastAsiaTheme="minorHAnsi"/>
          <w:szCs w:val="28"/>
          <w14:ligatures w14:val="standardContextual"/>
        </w:rPr>
        <w:footnoteReference w:id="12"/>
      </w:r>
    </w:p>
    <w:p w14:paraId="06A836DD" w14:textId="56A1596F" w:rsidR="00DF4DD8" w:rsidRPr="00C43543" w:rsidRDefault="00DF4DD8" w:rsidP="00DF4DD8">
      <w:pPr>
        <w:pStyle w:val="BodyText"/>
        <w:rPr>
          <w:szCs w:val="28"/>
          <w14:ligatures w14:val="standardContextual"/>
        </w:rPr>
      </w:pPr>
      <w:r w:rsidRPr="00C43543">
        <w:rPr>
          <w:szCs w:val="28"/>
          <w14:ligatures w14:val="standardContextual"/>
        </w:rPr>
        <w:t>Finally, Monsanto argues that application of Missouri law violate</w:t>
      </w:r>
      <w:r w:rsidR="002E340A" w:rsidRPr="00C43543">
        <w:rPr>
          <w:szCs w:val="28"/>
          <w14:ligatures w14:val="standardContextual"/>
        </w:rPr>
        <w:t>s</w:t>
      </w:r>
      <w:r w:rsidRPr="00C43543">
        <w:rPr>
          <w:szCs w:val="28"/>
          <w14:ligatures w14:val="standardContextual"/>
        </w:rPr>
        <w:t xml:space="preserve"> its right to due process. Once again, Monsanto’s summary assertion in the trial court (that application of Missouri law “would violate, among other things, </w:t>
      </w:r>
      <w:r w:rsidR="00B20C6E" w:rsidRPr="00C43543">
        <w:rPr>
          <w:szCs w:val="28"/>
          <w14:ligatures w14:val="standardContextual"/>
        </w:rPr>
        <w:t xml:space="preserve">. . . </w:t>
      </w:r>
      <w:r w:rsidRPr="00C43543">
        <w:rPr>
          <w:szCs w:val="28"/>
          <w14:ligatures w14:val="standardContextual"/>
        </w:rPr>
        <w:t xml:space="preserve">due process”) was insufficient to preserve the issue. </w:t>
      </w:r>
      <w:r w:rsidRPr="00C43543">
        <w:rPr>
          <w:i/>
          <w:szCs w:val="28"/>
          <w14:ligatures w14:val="standardContextual"/>
        </w:rPr>
        <w:t>See</w:t>
      </w:r>
      <w:r w:rsidRPr="00C43543">
        <w:rPr>
          <w:szCs w:val="28"/>
          <w14:ligatures w14:val="standardContextual"/>
        </w:rPr>
        <w:t xml:space="preserve"> </w:t>
      </w:r>
      <w:proofErr w:type="spellStart"/>
      <w:r w:rsidRPr="00C43543">
        <w:rPr>
          <w:i/>
          <w:szCs w:val="28"/>
          <w14:ligatures w14:val="standardContextual"/>
        </w:rPr>
        <w:t>Desranleau</w:t>
      </w:r>
      <w:proofErr w:type="spellEnd"/>
      <w:r w:rsidRPr="00C43543">
        <w:rPr>
          <w:szCs w:val="28"/>
          <w14:ligatures w14:val="standardContextual"/>
        </w:rPr>
        <w:t xml:space="preserve">, 10 </w:t>
      </w:r>
      <w:proofErr w:type="spellStart"/>
      <w:r w:rsidRPr="00C43543">
        <w:rPr>
          <w:szCs w:val="28"/>
          <w14:ligatures w14:val="standardContextual"/>
        </w:rPr>
        <w:t>Wn</w:t>
      </w:r>
      <w:proofErr w:type="spellEnd"/>
      <w:r w:rsidRPr="00C43543">
        <w:rPr>
          <w:szCs w:val="28"/>
          <w14:ligatures w14:val="standardContextual"/>
        </w:rPr>
        <w:t>. App. 2d at 848</w:t>
      </w:r>
      <w:r w:rsidR="009706D6" w:rsidRPr="00C43543">
        <w:rPr>
          <w:szCs w:val="28"/>
          <w14:ligatures w14:val="standardContextual"/>
        </w:rPr>
        <w:fldChar w:fldCharType="begin"/>
      </w:r>
      <w:r w:rsidR="009706D6" w:rsidRPr="00C43543">
        <w:rPr>
          <w:szCs w:val="28"/>
          <w14:ligatures w14:val="standardContextual"/>
        </w:rPr>
        <w:instrText xml:space="preserve"> TA \s "Desranleau v. Hyland’s, 10 Wn. App. 2d 837" </w:instrText>
      </w:r>
      <w:r w:rsidR="009706D6" w:rsidRPr="00C43543">
        <w:rPr>
          <w:szCs w:val="28"/>
          <w14:ligatures w14:val="standardContextual"/>
        </w:rPr>
        <w:fldChar w:fldCharType="end"/>
      </w:r>
      <w:r w:rsidRPr="00C43543">
        <w:rPr>
          <w:szCs w:val="28"/>
          <w14:ligatures w14:val="standardContextual"/>
        </w:rPr>
        <w:t>.</w:t>
      </w:r>
    </w:p>
    <w:p w14:paraId="7E4D7CA5" w14:textId="6C2ED8A9" w:rsidR="00DF4DD8" w:rsidRPr="00C43543" w:rsidRDefault="00617BA8" w:rsidP="00DF4DD8">
      <w:pPr>
        <w:pStyle w:val="BodyText"/>
        <w:rPr>
          <w:szCs w:val="28"/>
          <w14:ligatures w14:val="standardContextual"/>
        </w:rPr>
      </w:pPr>
      <w:r w:rsidRPr="00C43543">
        <w:rPr>
          <w:szCs w:val="28"/>
          <w14:ligatures w14:val="standardContextual"/>
        </w:rPr>
        <w:t>Regardless, the argument is misguided. D</w:t>
      </w:r>
      <w:r w:rsidR="00DF4DD8" w:rsidRPr="00C43543">
        <w:rPr>
          <w:szCs w:val="28"/>
          <w14:ligatures w14:val="standardContextual"/>
        </w:rPr>
        <w:t xml:space="preserve">ue process “prohibits certain choice of law decisions only when the choice of law is arbitrary or fundamentally unfair, such as when the selection of </w:t>
      </w:r>
      <w:r w:rsidR="00DF4DD8" w:rsidRPr="00C43543">
        <w:rPr>
          <w:szCs w:val="28"/>
          <w14:ligatures w14:val="standardContextual"/>
        </w:rPr>
        <w:lastRenderedPageBreak/>
        <w:t xml:space="preserve">forum law rested exclusively on the presence of one nonsignificant forum contact.” </w:t>
      </w:r>
      <w:r w:rsidR="008903AD" w:rsidRPr="00C43543">
        <w:rPr>
          <w:i/>
          <w:szCs w:val="28"/>
          <w14:ligatures w14:val="standardContextual"/>
        </w:rPr>
        <w:t>Pope Res.</w:t>
      </w:r>
      <w:r w:rsidR="009706D6" w:rsidRPr="00C43543">
        <w:rPr>
          <w:iCs/>
          <w:szCs w:val="28"/>
          <w14:ligatures w14:val="standardContextual"/>
        </w:rPr>
        <w:t xml:space="preserve">, </w:t>
      </w:r>
      <w:r w:rsidR="008903AD" w:rsidRPr="00C43543">
        <w:rPr>
          <w:iCs/>
          <w:szCs w:val="28"/>
          <w14:ligatures w14:val="standardContextual"/>
        </w:rPr>
        <w:t>19</w:t>
      </w:r>
      <w:r w:rsidR="008903AD" w:rsidRPr="00C43543">
        <w:rPr>
          <w:szCs w:val="28"/>
          <w14:ligatures w14:val="standardContextual"/>
        </w:rPr>
        <w:t xml:space="preserve"> </w:t>
      </w:r>
      <w:proofErr w:type="spellStart"/>
      <w:r w:rsidR="008903AD" w:rsidRPr="00C43543">
        <w:rPr>
          <w:szCs w:val="28"/>
          <w14:ligatures w14:val="standardContextual"/>
        </w:rPr>
        <w:t>Wn</w:t>
      </w:r>
      <w:proofErr w:type="spellEnd"/>
      <w:r w:rsidR="008903AD" w:rsidRPr="00C43543">
        <w:rPr>
          <w:szCs w:val="28"/>
          <w14:ligatures w14:val="standardContextual"/>
        </w:rPr>
        <w:t xml:space="preserve">. App. 2d </w:t>
      </w:r>
      <w:r w:rsidR="009706D6" w:rsidRPr="00C43543">
        <w:rPr>
          <w:szCs w:val="28"/>
          <w14:ligatures w14:val="standardContextual"/>
        </w:rPr>
        <w:t>at</w:t>
      </w:r>
      <w:r w:rsidR="008903AD" w:rsidRPr="00C43543">
        <w:rPr>
          <w:szCs w:val="28"/>
          <w14:ligatures w14:val="standardContextual"/>
        </w:rPr>
        <w:t xml:space="preserve"> 15</w:t>
      </w:r>
      <w:r w:rsidR="008E0DAF" w:rsidRPr="00C43543">
        <w:rPr>
          <w:szCs w:val="28"/>
          <w14:ligatures w14:val="standardContextual"/>
        </w:rPr>
        <w:t>5</w:t>
      </w:r>
      <w:r w:rsidR="008E0DAF" w:rsidRPr="00C43543">
        <w:rPr>
          <w:szCs w:val="28"/>
          <w14:ligatures w14:val="standardContextual"/>
        </w:rPr>
        <w:fldChar w:fldCharType="begin"/>
      </w:r>
      <w:r w:rsidR="008E0DAF" w:rsidRPr="00C43543">
        <w:rPr>
          <w:szCs w:val="28"/>
          <w14:ligatures w14:val="standardContextual"/>
        </w:rPr>
        <w:instrText xml:space="preserve"> TA \s "Pope Res. L.P., 19 Wn. App. 2d 113" </w:instrText>
      </w:r>
      <w:r w:rsidR="008E0DAF" w:rsidRPr="00C43543">
        <w:rPr>
          <w:szCs w:val="28"/>
          <w14:ligatures w14:val="standardContextual"/>
        </w:rPr>
        <w:fldChar w:fldCharType="end"/>
      </w:r>
      <w:r w:rsidR="008E0DAF" w:rsidRPr="00C43543">
        <w:rPr>
          <w:szCs w:val="28"/>
          <w14:ligatures w14:val="standardContextual"/>
        </w:rPr>
        <w:t xml:space="preserve">; </w:t>
      </w:r>
      <w:r w:rsidR="008903AD" w:rsidRPr="00C43543">
        <w:rPr>
          <w:i/>
          <w:szCs w:val="28"/>
          <w14:ligatures w14:val="standardContextual"/>
        </w:rPr>
        <w:t>see Phillips Petroleum Co. v. Shutts</w:t>
      </w:r>
      <w:r w:rsidR="008903AD" w:rsidRPr="00C43543">
        <w:rPr>
          <w:szCs w:val="28"/>
          <w14:ligatures w14:val="standardContextual"/>
        </w:rPr>
        <w:t xml:space="preserve">, </w:t>
      </w:r>
      <w:r w:rsidR="008903AD" w:rsidRPr="00C43543">
        <w:rPr>
          <w:iCs/>
          <w:szCs w:val="28"/>
          <w14:ligatures w14:val="standardContextual"/>
        </w:rPr>
        <w:t>472 U.S. 797 (1985)</w:t>
      </w:r>
      <w:r w:rsidR="008E0DAF" w:rsidRPr="00C43543">
        <w:rPr>
          <w:iCs/>
          <w:szCs w:val="28"/>
          <w14:ligatures w14:val="standardContextual"/>
        </w:rPr>
        <w:fldChar w:fldCharType="begin"/>
      </w:r>
      <w:r w:rsidR="008E0DAF" w:rsidRPr="00C43543">
        <w:rPr>
          <w:szCs w:val="28"/>
          <w14:ligatures w14:val="standardContextual"/>
        </w:rPr>
        <w:instrText xml:space="preserve"> TA \l "</w:instrText>
      </w:r>
      <w:r w:rsidR="008E0DAF" w:rsidRPr="00C43543">
        <w:rPr>
          <w:i/>
          <w:szCs w:val="28"/>
          <w14:ligatures w14:val="standardContextual"/>
        </w:rPr>
        <w:instrText>Phillips Petroleum Co. v. Shutts</w:instrText>
      </w:r>
      <w:r w:rsidR="008E0DAF" w:rsidRPr="00C43543">
        <w:rPr>
          <w:szCs w:val="28"/>
          <w14:ligatures w14:val="standardContextual"/>
        </w:rPr>
        <w:instrText>,</w:instrText>
      </w:r>
      <w:r w:rsidR="008E0DAF" w:rsidRPr="00C43543">
        <w:rPr>
          <w:szCs w:val="28"/>
          <w14:ligatures w14:val="standardContextual"/>
        </w:rPr>
        <w:br/>
      </w:r>
      <w:r w:rsidR="008E0DAF" w:rsidRPr="00C43543">
        <w:rPr>
          <w:iCs/>
          <w:szCs w:val="28"/>
          <w14:ligatures w14:val="standardContextual"/>
        </w:rPr>
        <w:instrText>472 U.S. 797 (1985)</w:instrText>
      </w:r>
      <w:r w:rsidR="008E0DAF" w:rsidRPr="00C43543">
        <w:rPr>
          <w:szCs w:val="28"/>
          <w14:ligatures w14:val="standardContextual"/>
        </w:rPr>
        <w:instrText xml:space="preserve">" \s "Phillips Petroleum, 472 U.S. 797 (1985)" \c 1 </w:instrText>
      </w:r>
      <w:r w:rsidR="008E0DAF" w:rsidRPr="00C43543">
        <w:rPr>
          <w:iCs/>
          <w:szCs w:val="28"/>
          <w14:ligatures w14:val="standardContextual"/>
        </w:rPr>
        <w:fldChar w:fldCharType="end"/>
      </w:r>
      <w:r w:rsidR="00DF4DD8" w:rsidRPr="00C43543">
        <w:rPr>
          <w:iCs/>
          <w:szCs w:val="28"/>
          <w14:ligatures w14:val="standardContextual"/>
        </w:rPr>
        <w:t xml:space="preserve">. </w:t>
      </w:r>
      <w:r w:rsidR="00DF4DD8" w:rsidRPr="00C43543">
        <w:rPr>
          <w:szCs w:val="28"/>
          <w14:ligatures w14:val="standardContextual"/>
        </w:rPr>
        <w:t>As a co</w:t>
      </w:r>
      <w:r w:rsidR="002E340A" w:rsidRPr="00C43543">
        <w:rPr>
          <w:szCs w:val="28"/>
          <w14:ligatures w14:val="standardContextual"/>
        </w:rPr>
        <w:t>mpany</w:t>
      </w:r>
      <w:r w:rsidR="00DF4DD8" w:rsidRPr="00C43543">
        <w:rPr>
          <w:szCs w:val="28"/>
          <w14:ligatures w14:val="standardContextual"/>
        </w:rPr>
        <w:t xml:space="preserve"> that distributed its products in all fifty states (only a few of which bar punitive damages), Monsanto “could not have justifiably relied on” Washington’s limitation in planning its conduct. </w:t>
      </w:r>
      <w:r w:rsidR="00DF4DD8" w:rsidRPr="00C43543">
        <w:rPr>
          <w:i/>
          <w:szCs w:val="28"/>
          <w14:ligatures w14:val="standardContextual"/>
        </w:rPr>
        <w:t>Spider Staging</w:t>
      </w:r>
      <w:r w:rsidR="005125C7">
        <w:rPr>
          <w:iCs/>
          <w:szCs w:val="28"/>
          <w14:ligatures w14:val="standardContextual"/>
        </w:rPr>
        <w:t>,</w:t>
      </w:r>
      <w:r w:rsidR="00DF4DD8" w:rsidRPr="00C43543">
        <w:rPr>
          <w:i/>
          <w:szCs w:val="28"/>
          <w14:ligatures w14:val="standardContextual"/>
        </w:rPr>
        <w:t xml:space="preserve"> </w:t>
      </w:r>
      <w:r w:rsidR="00DF4DD8" w:rsidRPr="00C43543">
        <w:rPr>
          <w:szCs w:val="28"/>
          <w14:ligatures w14:val="standardContextual"/>
        </w:rPr>
        <w:t>87 Wn.2d at 58</w:t>
      </w:r>
      <w:r w:rsidR="008903AD" w:rsidRPr="00C43543">
        <w:rPr>
          <w:szCs w:val="28"/>
          <w14:ligatures w14:val="standardContextual"/>
        </w:rPr>
        <w:t>3</w:t>
      </w:r>
      <w:r w:rsidR="00DF4DD8" w:rsidRPr="00C43543">
        <w:rPr>
          <w:szCs w:val="28"/>
          <w14:ligatures w14:val="standardContextual"/>
        </w:rPr>
        <w:t xml:space="preserve"> n.3</w:t>
      </w:r>
      <w:r w:rsidR="008E0DAF" w:rsidRPr="00C43543">
        <w:rPr>
          <w:szCs w:val="28"/>
          <w14:ligatures w14:val="standardContextual"/>
        </w:rPr>
        <w:fldChar w:fldCharType="begin"/>
      </w:r>
      <w:r w:rsidR="008E0DAF" w:rsidRPr="00C43543">
        <w:rPr>
          <w:szCs w:val="28"/>
          <w14:ligatures w14:val="standardContextual"/>
        </w:rPr>
        <w:instrText xml:space="preserve"> TA \s "Spider Staging Co., 87 Wn.2d 577" </w:instrText>
      </w:r>
      <w:r w:rsidR="008E0DAF" w:rsidRPr="00C43543">
        <w:rPr>
          <w:szCs w:val="28"/>
          <w14:ligatures w14:val="standardContextual"/>
        </w:rPr>
        <w:fldChar w:fldCharType="end"/>
      </w:r>
      <w:r w:rsidR="00DF4DD8" w:rsidRPr="00C43543">
        <w:rPr>
          <w:szCs w:val="28"/>
          <w14:ligatures w14:val="standardContextual"/>
        </w:rPr>
        <w:t xml:space="preserve">. A company that consciously disregards the safety of people of every state can “have few, if any, justified expectations in the area of choice of law to protect.” Restatement (Second) of Conflict of Laws § 145, </w:t>
      </w:r>
      <w:proofErr w:type="spellStart"/>
      <w:r w:rsidR="00DF4DD8" w:rsidRPr="00C43543">
        <w:rPr>
          <w:szCs w:val="28"/>
          <w14:ligatures w14:val="standardContextual"/>
        </w:rPr>
        <w:t>cmt</w:t>
      </w:r>
      <w:proofErr w:type="spellEnd"/>
      <w:r w:rsidR="00DF4DD8" w:rsidRPr="00C43543">
        <w:rPr>
          <w:szCs w:val="28"/>
          <w14:ligatures w14:val="standardContextual"/>
        </w:rPr>
        <w:t>. b.</w:t>
      </w:r>
      <w:r w:rsidR="008E0DAF" w:rsidRPr="00C43543">
        <w:rPr>
          <w:szCs w:val="28"/>
          <w14:ligatures w14:val="standardContextual"/>
        </w:rPr>
        <w:fldChar w:fldCharType="begin"/>
      </w:r>
      <w:r w:rsidR="008E0DAF" w:rsidRPr="00C43543">
        <w:rPr>
          <w:szCs w:val="28"/>
          <w14:ligatures w14:val="standardContextual"/>
        </w:rPr>
        <w:instrText xml:space="preserve"> TA \s "Restatement (Second) of Conflict of Laws § 145" </w:instrText>
      </w:r>
      <w:r w:rsidR="008E0DAF" w:rsidRPr="00C43543">
        <w:rPr>
          <w:szCs w:val="28"/>
          <w14:ligatures w14:val="standardContextual"/>
        </w:rPr>
        <w:fldChar w:fldCharType="end"/>
      </w:r>
    </w:p>
    <w:p w14:paraId="7DB3C744" w14:textId="5D6C6BD1" w:rsidR="00DF4DD8" w:rsidRPr="00C43543" w:rsidRDefault="00DF4DD8" w:rsidP="00DF4DD8">
      <w:pPr>
        <w:pStyle w:val="BodyText"/>
        <w:rPr>
          <w:szCs w:val="28"/>
          <w14:ligatures w14:val="standardContextual"/>
        </w:rPr>
      </w:pPr>
      <w:r w:rsidRPr="00C43543">
        <w:rPr>
          <w:szCs w:val="28"/>
          <w14:ligatures w14:val="standardContextual"/>
        </w:rPr>
        <w:t xml:space="preserve">Nor can Monsanto reasonably claim that it would be “arbitrary or fundamentally unfair” to subject it to the law of its home state. </w:t>
      </w:r>
      <w:r w:rsidRPr="00C43543">
        <w:rPr>
          <w:i/>
          <w:iCs/>
          <w:szCs w:val="28"/>
          <w14:ligatures w14:val="standardContextual"/>
        </w:rPr>
        <w:t xml:space="preserve">See </w:t>
      </w:r>
      <w:proofErr w:type="spellStart"/>
      <w:r w:rsidRPr="00C43543">
        <w:rPr>
          <w:i/>
          <w:iCs/>
          <w:szCs w:val="28"/>
          <w14:ligatures w14:val="standardContextual"/>
        </w:rPr>
        <w:t>Mahne</w:t>
      </w:r>
      <w:proofErr w:type="spellEnd"/>
      <w:r w:rsidRPr="00C43543">
        <w:rPr>
          <w:i/>
          <w:iCs/>
          <w:szCs w:val="28"/>
          <w14:ligatures w14:val="standardContextual"/>
        </w:rPr>
        <w:t xml:space="preserve"> v. Ford Motor Co.</w:t>
      </w:r>
      <w:r w:rsidRPr="00C43543">
        <w:rPr>
          <w:szCs w:val="28"/>
          <w14:ligatures w14:val="standardContextual"/>
        </w:rPr>
        <w:t>, 900 F.2d 83, 88 (6th Cir. 1990)</w:t>
      </w:r>
      <w:r w:rsidR="008E0DAF" w:rsidRPr="00C43543">
        <w:rPr>
          <w:szCs w:val="28"/>
          <w14:ligatures w14:val="standardContextual"/>
        </w:rPr>
        <w:fldChar w:fldCharType="begin"/>
      </w:r>
      <w:r w:rsidR="008E0DAF" w:rsidRPr="00C43543">
        <w:rPr>
          <w:szCs w:val="28"/>
          <w14:ligatures w14:val="standardContextual"/>
        </w:rPr>
        <w:instrText xml:space="preserve"> TA \l "</w:instrText>
      </w:r>
      <w:r w:rsidR="008E0DAF" w:rsidRPr="00C43543">
        <w:rPr>
          <w:i/>
          <w:iCs/>
          <w:szCs w:val="28"/>
          <w14:ligatures w14:val="standardContextual"/>
        </w:rPr>
        <w:instrText>Mahne v. Ford Motor Co.</w:instrText>
      </w:r>
      <w:r w:rsidR="008E0DAF" w:rsidRPr="00C43543">
        <w:rPr>
          <w:szCs w:val="28"/>
          <w14:ligatures w14:val="standardContextual"/>
        </w:rPr>
        <w:instrText>,</w:instrText>
      </w:r>
      <w:r w:rsidR="008E0DAF" w:rsidRPr="00C43543">
        <w:rPr>
          <w:szCs w:val="28"/>
          <w14:ligatures w14:val="standardContextual"/>
        </w:rPr>
        <w:br/>
        <w:instrText xml:space="preserve">900 F.2d 83 (6th. Cir. 1990)" \s "Mahne v. Ford, 900 F.2d 83" \c 1 </w:instrText>
      </w:r>
      <w:r w:rsidR="008E0DAF" w:rsidRPr="00C43543">
        <w:rPr>
          <w:szCs w:val="28"/>
          <w14:ligatures w14:val="standardContextual"/>
        </w:rPr>
        <w:fldChar w:fldCharType="end"/>
      </w:r>
      <w:r w:rsidRPr="00C43543">
        <w:rPr>
          <w:szCs w:val="28"/>
          <w14:ligatures w14:val="standardContextual"/>
        </w:rPr>
        <w:t xml:space="preserve"> (“[D]</w:t>
      </w:r>
      <w:proofErr w:type="spellStart"/>
      <w:r w:rsidRPr="00C43543">
        <w:rPr>
          <w:szCs w:val="28"/>
          <w14:ligatures w14:val="standardContextual"/>
        </w:rPr>
        <w:t>efendants</w:t>
      </w:r>
      <w:proofErr w:type="spellEnd"/>
      <w:r w:rsidRPr="00C43543">
        <w:rPr>
          <w:szCs w:val="28"/>
          <w14:ligatures w14:val="standardContextual"/>
        </w:rPr>
        <w:t xml:space="preserve"> cannot argue that applying Michigan law would defeat their expectations since the individual defendants reside there and defendant Ford Motor Company has its headquarters in that state.”). The fact that “much of the alleged conduct at issue took place in [Missouri] should have put Defendants on notice that the application of [the state’s] law </w:t>
      </w:r>
      <w:r w:rsidR="00A53C62" w:rsidRPr="00C43543">
        <w:rPr>
          <w:szCs w:val="28"/>
          <w14:ligatures w14:val="standardContextual"/>
        </w:rPr>
        <w:t xml:space="preserve">to Plaintiff’s claims </w:t>
      </w:r>
      <w:r w:rsidRPr="00C43543">
        <w:rPr>
          <w:szCs w:val="28"/>
          <w14:ligatures w14:val="standardContextual"/>
        </w:rPr>
        <w:t xml:space="preserve">was a possibility.” </w:t>
      </w:r>
      <w:proofErr w:type="spellStart"/>
      <w:r w:rsidRPr="00C43543">
        <w:rPr>
          <w:i/>
          <w:iCs/>
          <w:szCs w:val="28"/>
          <w14:ligatures w14:val="standardContextual"/>
        </w:rPr>
        <w:t>Ehrenfelt</w:t>
      </w:r>
      <w:proofErr w:type="spellEnd"/>
      <w:r w:rsidRPr="00C43543">
        <w:rPr>
          <w:szCs w:val="28"/>
          <w14:ligatures w14:val="standardContextual"/>
        </w:rPr>
        <w:t>, 2016 WL 7335922</w:t>
      </w:r>
      <w:r w:rsidR="00A53C62" w:rsidRPr="00C43543">
        <w:rPr>
          <w:szCs w:val="28"/>
          <w14:ligatures w14:val="standardContextual"/>
        </w:rPr>
        <w:t xml:space="preserve">, at </w:t>
      </w:r>
      <w:r w:rsidR="00A53C62" w:rsidRPr="00C43543">
        <w:rPr>
          <w:szCs w:val="28"/>
          <w14:ligatures w14:val="standardContextual"/>
        </w:rPr>
        <w:lastRenderedPageBreak/>
        <w:t>*7</w:t>
      </w:r>
      <w:r w:rsidR="008E0DAF" w:rsidRPr="00C43543">
        <w:rPr>
          <w:szCs w:val="28"/>
          <w14:ligatures w14:val="standardContextual"/>
        </w:rPr>
        <w:fldChar w:fldCharType="begin"/>
      </w:r>
      <w:r w:rsidR="008E0DAF" w:rsidRPr="00C43543">
        <w:rPr>
          <w:szCs w:val="28"/>
          <w14:ligatures w14:val="standardContextual"/>
        </w:rPr>
        <w:instrText xml:space="preserve"> TA \s "Ehrenfelt v. Janssen Pharms., Inc., No. 15-cv-2558, 2016 WL 7335922 at *7 (W.D. Tenn. June 23, 2016)" </w:instrText>
      </w:r>
      <w:r w:rsidR="008E0DAF" w:rsidRPr="00C43543">
        <w:rPr>
          <w:szCs w:val="28"/>
          <w14:ligatures w14:val="standardContextual"/>
        </w:rPr>
        <w:fldChar w:fldCharType="end"/>
      </w:r>
      <w:r w:rsidR="008E0DAF" w:rsidRPr="00C43543">
        <w:rPr>
          <w:szCs w:val="28"/>
          <w14:ligatures w14:val="standardContextual"/>
        </w:rPr>
        <w:t>.</w:t>
      </w:r>
      <w:r w:rsidRPr="00C43543">
        <w:rPr>
          <w:szCs w:val="28"/>
          <w14:ligatures w14:val="standardContextual"/>
        </w:rPr>
        <w:t xml:space="preserve"> A defendant “cannot be surprised or unfairly prejudiced by the application of a statute enacted by the state in which [it] is incorporated and manufactures its products.” </w:t>
      </w:r>
      <w:proofErr w:type="spellStart"/>
      <w:r w:rsidRPr="00C43543">
        <w:rPr>
          <w:i/>
          <w:iCs/>
          <w:szCs w:val="28"/>
          <w14:ligatures w14:val="standardContextual"/>
        </w:rPr>
        <w:t>Sico</w:t>
      </w:r>
      <w:proofErr w:type="spellEnd"/>
      <w:r w:rsidRPr="00C43543">
        <w:rPr>
          <w:i/>
          <w:iCs/>
          <w:szCs w:val="28"/>
          <w14:ligatures w14:val="standardContextual"/>
        </w:rPr>
        <w:t xml:space="preserve"> N.</w:t>
      </w:r>
      <w:r w:rsidR="00A53C62" w:rsidRPr="00C43543">
        <w:rPr>
          <w:i/>
          <w:iCs/>
          <w:szCs w:val="28"/>
          <w14:ligatures w14:val="standardContextual"/>
        </w:rPr>
        <w:t xml:space="preserve"> </w:t>
      </w:r>
      <w:r w:rsidRPr="00C43543">
        <w:rPr>
          <w:i/>
          <w:iCs/>
          <w:szCs w:val="28"/>
          <w14:ligatures w14:val="standardContextual"/>
        </w:rPr>
        <w:t>A</w:t>
      </w:r>
      <w:r w:rsidR="00A53C62" w:rsidRPr="00C43543">
        <w:rPr>
          <w:i/>
          <w:iCs/>
          <w:szCs w:val="28"/>
          <w14:ligatures w14:val="standardContextual"/>
        </w:rPr>
        <w:t>m</w:t>
      </w:r>
      <w:r w:rsidRPr="00C43543">
        <w:rPr>
          <w:i/>
          <w:iCs/>
          <w:szCs w:val="28"/>
          <w14:ligatures w14:val="standardContextual"/>
        </w:rPr>
        <w:t>., Inc. v. Willis</w:t>
      </w:r>
      <w:r w:rsidRPr="00C43543">
        <w:rPr>
          <w:szCs w:val="28"/>
          <w14:ligatures w14:val="standardContextual"/>
        </w:rPr>
        <w:t>, 2009 WL 3365856, at *5 (Tex. Ct. App. Sept. 10, 2009)</w:t>
      </w:r>
      <w:r w:rsidR="008E0DAF" w:rsidRPr="00C43543">
        <w:rPr>
          <w:szCs w:val="28"/>
          <w14:ligatures w14:val="standardContextual"/>
        </w:rPr>
        <w:fldChar w:fldCharType="begin"/>
      </w:r>
      <w:r w:rsidR="008E0DAF" w:rsidRPr="00C43543">
        <w:rPr>
          <w:szCs w:val="28"/>
          <w14:ligatures w14:val="standardContextual"/>
        </w:rPr>
        <w:instrText xml:space="preserve"> TA \l "</w:instrText>
      </w:r>
      <w:r w:rsidR="008E0DAF" w:rsidRPr="00C43543">
        <w:rPr>
          <w:i/>
          <w:iCs/>
          <w:szCs w:val="28"/>
          <w14:ligatures w14:val="standardContextual"/>
        </w:rPr>
        <w:instrText>Sico North America, Inc. v. Willis</w:instrText>
      </w:r>
      <w:r w:rsidR="008E0DAF" w:rsidRPr="00C43543">
        <w:rPr>
          <w:szCs w:val="28"/>
          <w14:ligatures w14:val="standardContextual"/>
        </w:rPr>
        <w:instrText>,</w:instrText>
      </w:r>
      <w:r w:rsidR="008E0DAF" w:rsidRPr="00C43543">
        <w:rPr>
          <w:szCs w:val="28"/>
          <w14:ligatures w14:val="standardContextual"/>
        </w:rPr>
        <w:br/>
        <w:instrText xml:space="preserve">2009 WL 3365856 (Tex. Ct. App. Sept. 10, 2009)" \s "Sico v. Willis, 2009 WL 3365856" \c 1 </w:instrText>
      </w:r>
      <w:r w:rsidR="008E0DAF"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Marchesani v. Pellerin-Milnor Corp.</w:t>
      </w:r>
      <w:r w:rsidRPr="00C43543">
        <w:rPr>
          <w:szCs w:val="28"/>
          <w14:ligatures w14:val="standardContextual"/>
        </w:rPr>
        <w:t>, 269 F.3d 481 (5th Cir. 2001)</w:t>
      </w:r>
      <w:r w:rsidR="008E0DAF" w:rsidRPr="00C43543">
        <w:rPr>
          <w:szCs w:val="28"/>
          <w14:ligatures w14:val="standardContextual"/>
        </w:rPr>
        <w:fldChar w:fldCharType="begin"/>
      </w:r>
      <w:r w:rsidR="008E0DAF" w:rsidRPr="00C43543">
        <w:rPr>
          <w:szCs w:val="28"/>
          <w14:ligatures w14:val="standardContextual"/>
        </w:rPr>
        <w:instrText xml:space="preserve"> TA \l "</w:instrText>
      </w:r>
      <w:r w:rsidR="008E0DAF" w:rsidRPr="00C43543">
        <w:rPr>
          <w:i/>
          <w:iCs/>
          <w:szCs w:val="28"/>
          <w14:ligatures w14:val="standardContextual"/>
        </w:rPr>
        <w:instrText>Marchesani v. Pellerin-Milnor Corp.</w:instrText>
      </w:r>
      <w:r w:rsidR="008E0DAF" w:rsidRPr="00C43543">
        <w:rPr>
          <w:szCs w:val="28"/>
          <w14:ligatures w14:val="standardContextual"/>
        </w:rPr>
        <w:instrText>,</w:instrText>
      </w:r>
      <w:r w:rsidR="008E0DAF" w:rsidRPr="00C43543">
        <w:rPr>
          <w:szCs w:val="28"/>
          <w14:ligatures w14:val="standardContextual"/>
        </w:rPr>
        <w:br/>
        <w:instrText xml:space="preserve">269 F.3d 481 (5th Cir. 2001)" \s "Marchesani v. Pellerin, 269 F.3d 481" \c 1 </w:instrText>
      </w:r>
      <w:r w:rsidR="008E0DAF" w:rsidRPr="00C43543">
        <w:rPr>
          <w:szCs w:val="28"/>
          <w14:ligatures w14:val="standardContextual"/>
        </w:rPr>
        <w:fldChar w:fldCharType="end"/>
      </w:r>
      <w:r w:rsidRPr="00C43543">
        <w:rPr>
          <w:szCs w:val="28"/>
          <w14:ligatures w14:val="standardContextual"/>
        </w:rPr>
        <w:t xml:space="preserve"> (applying the statute of repose of a defendant’s home state comports with fundamental principles of fairness).</w:t>
      </w:r>
      <w:r w:rsidRPr="00C43543">
        <w:rPr>
          <w:rStyle w:val="FootnoteReference"/>
          <w:szCs w:val="28"/>
          <w14:ligatures w14:val="standardContextual"/>
        </w:rPr>
        <w:footnoteReference w:id="13"/>
      </w:r>
      <w:r w:rsidRPr="00C43543">
        <w:rPr>
          <w:szCs w:val="28"/>
          <w14:ligatures w14:val="standardContextual"/>
        </w:rPr>
        <w:t xml:space="preserve"> </w:t>
      </w:r>
    </w:p>
    <w:p w14:paraId="74F06952" w14:textId="294E8B7A" w:rsidR="00DF4DD8" w:rsidRPr="00C43543" w:rsidRDefault="006C017A" w:rsidP="00DF4DD8">
      <w:pPr>
        <w:pStyle w:val="BodyText"/>
        <w:rPr>
          <w:szCs w:val="28"/>
          <w14:ligatures w14:val="standardContextual"/>
        </w:rPr>
      </w:pPr>
      <w:r w:rsidRPr="00C43543">
        <w:rPr>
          <w:b/>
          <w:bCs/>
          <w:i/>
          <w:iCs/>
          <w:szCs w:val="28"/>
          <w14:ligatures w14:val="standardContextual"/>
        </w:rPr>
        <w:t xml:space="preserve">3. </w:t>
      </w:r>
      <w:proofErr w:type="gramStart"/>
      <w:r w:rsidRPr="00C43543">
        <w:rPr>
          <w:b/>
          <w:bCs/>
          <w:i/>
          <w:iCs/>
          <w:szCs w:val="28"/>
          <w14:ligatures w14:val="standardContextual"/>
        </w:rPr>
        <w:t>Post-sale</w:t>
      </w:r>
      <w:proofErr w:type="gramEnd"/>
      <w:r w:rsidRPr="00C43543">
        <w:rPr>
          <w:b/>
          <w:bCs/>
          <w:i/>
          <w:iCs/>
          <w:szCs w:val="28"/>
          <w14:ligatures w14:val="standardContextual"/>
        </w:rPr>
        <w:t xml:space="preserve"> duty to warn.</w:t>
      </w:r>
      <w:r w:rsidR="00DF4DD8" w:rsidRPr="00C43543">
        <w:rPr>
          <w:b/>
          <w:bCs/>
          <w:szCs w:val="28"/>
          <w14:ligatures w14:val="standardContextual"/>
        </w:rPr>
        <w:t xml:space="preserve"> </w:t>
      </w:r>
      <w:r w:rsidR="00DF4DD8" w:rsidRPr="00C43543">
        <w:rPr>
          <w:szCs w:val="28"/>
          <w14:ligatures w14:val="standardContextual"/>
        </w:rPr>
        <w:t xml:space="preserve">Monsanto devotes the remainder of its argument to disputing the application of punitive damages to just one of the plaintiffs’ claims—that Monsanto violated a post-sale duty to warn of the danger posed by PCBs. That claim, Monsanto argues, cannot support punitive damages because Missouri’s law, unlike Washington’s, imposes no such post-sale duty. </w:t>
      </w:r>
    </w:p>
    <w:p w14:paraId="4605651A" w14:textId="6A760FC6" w:rsidR="00DF4DD8" w:rsidRPr="00C43543" w:rsidRDefault="00DF4DD8" w:rsidP="00DF4DD8">
      <w:pPr>
        <w:pStyle w:val="BodyText"/>
        <w:rPr>
          <w:szCs w:val="28"/>
          <w14:ligatures w14:val="standardContextual"/>
        </w:rPr>
      </w:pPr>
      <w:r w:rsidRPr="00C43543">
        <w:rPr>
          <w:iCs/>
          <w:szCs w:val="28"/>
          <w14:ligatures w14:val="standardContextual"/>
        </w:rPr>
        <w:lastRenderedPageBreak/>
        <w:t xml:space="preserve">Monsanto is mistaken. </w:t>
      </w:r>
      <w:r w:rsidRPr="00C43543">
        <w:rPr>
          <w:szCs w:val="28"/>
          <w14:ligatures w14:val="standardContextual"/>
        </w:rPr>
        <w:t xml:space="preserve">Missouri recognizes a broad duty to warn users when a product is dangerous. </w:t>
      </w:r>
      <w:r w:rsidRPr="00C43543">
        <w:rPr>
          <w:i/>
          <w:iCs/>
          <w:szCs w:val="28"/>
          <w14:ligatures w14:val="standardContextual"/>
        </w:rPr>
        <w:t>See Orr v. Shell Oil Co.</w:t>
      </w:r>
      <w:r w:rsidRPr="00C43543">
        <w:rPr>
          <w:szCs w:val="28"/>
          <w14:ligatures w14:val="standardContextual"/>
        </w:rPr>
        <w:t>, 177 S.W.2d 608, 610 (Mo. 1943).</w:t>
      </w:r>
      <w:r w:rsidRPr="00C43543">
        <w:rPr>
          <w:i/>
          <w:iCs/>
          <w:szCs w:val="28"/>
          <w14:ligatures w14:val="standardContextual"/>
        </w:rPr>
        <w:t xml:space="preserve"> </w:t>
      </w:r>
      <w:r w:rsidRPr="00C43543">
        <w:rPr>
          <w:szCs w:val="28"/>
          <w14:ligatures w14:val="standardContextual"/>
        </w:rPr>
        <w:t xml:space="preserve">And it has never limited that duty to the time of sale. Rather, the duty arises </w:t>
      </w:r>
      <w:r w:rsidRPr="00C43543">
        <w:rPr>
          <w:iCs/>
          <w:szCs w:val="28"/>
          <w14:ligatures w14:val="standardContextual"/>
        </w:rPr>
        <w:t xml:space="preserve">when “the fact is </w:t>
      </w:r>
      <w:r w:rsidR="00B20C6E" w:rsidRPr="00C43543">
        <w:rPr>
          <w:szCs w:val="28"/>
          <w14:ligatures w14:val="standardContextual"/>
        </w:rPr>
        <w:t xml:space="preserve">. . . </w:t>
      </w:r>
      <w:r w:rsidRPr="00C43543">
        <w:rPr>
          <w:iCs/>
          <w:szCs w:val="28"/>
          <w14:ligatures w14:val="standardContextual"/>
        </w:rPr>
        <w:t xml:space="preserve">established” that an “apparently harmless” product “contains concealed dangers.” </w:t>
      </w:r>
      <w:r w:rsidRPr="00C43543">
        <w:rPr>
          <w:i/>
          <w:iCs/>
          <w:szCs w:val="28"/>
          <w14:ligatures w14:val="standardContextual"/>
        </w:rPr>
        <w:t>Johnston v. Upjohn Co.</w:t>
      </w:r>
      <w:r w:rsidRPr="00C43543">
        <w:rPr>
          <w:iCs/>
          <w:szCs w:val="28"/>
          <w14:ligatures w14:val="standardContextual"/>
        </w:rPr>
        <w:t xml:space="preserve">, 442 S.W.2d 93, 97 (Mo. App. 1969); </w:t>
      </w:r>
      <w:r w:rsidRPr="00C43543">
        <w:rPr>
          <w:i/>
          <w:iCs/>
          <w:szCs w:val="28"/>
          <w14:ligatures w14:val="standardContextual"/>
        </w:rPr>
        <w:t>see, e.g.</w:t>
      </w:r>
      <w:r w:rsidRPr="00C43543">
        <w:rPr>
          <w:szCs w:val="28"/>
          <w14:ligatures w14:val="standardContextual"/>
        </w:rPr>
        <w:t xml:space="preserve">, </w:t>
      </w:r>
      <w:r w:rsidRPr="00C43543">
        <w:rPr>
          <w:i/>
          <w:iCs/>
          <w:szCs w:val="28"/>
          <w14:ligatures w14:val="standardContextual"/>
        </w:rPr>
        <w:t>Lopez v. Three Rivers Elec. Co-op., Inc.</w:t>
      </w:r>
      <w:r w:rsidRPr="00C43543">
        <w:rPr>
          <w:szCs w:val="28"/>
          <w14:ligatures w14:val="standardContextual"/>
        </w:rPr>
        <w:t xml:space="preserve">, 26 S.W.3d 151, 156 (Mo. 2000) (recognizing the continuing duty to warn under Missouri law); </w:t>
      </w:r>
      <w:r w:rsidRPr="00C43543">
        <w:rPr>
          <w:i/>
          <w:szCs w:val="28"/>
          <w14:ligatures w14:val="standardContextual"/>
        </w:rPr>
        <w:t>Stanger v. Smith &amp; Nephew, Inc.</w:t>
      </w:r>
      <w:r w:rsidRPr="00C43543">
        <w:rPr>
          <w:iCs/>
          <w:szCs w:val="28"/>
          <w14:ligatures w14:val="standardContextual"/>
        </w:rPr>
        <w:t>, 401 F. Supp. 2d 974, 982 (E.D. Mo. 2005) (recognizing Missouri claim for post-sale duty to warn).</w:t>
      </w:r>
      <w:r w:rsidRPr="00C43543">
        <w:rPr>
          <w:szCs w:val="28"/>
          <w14:ligatures w14:val="standardContextual"/>
        </w:rPr>
        <w:t xml:space="preserve"> Monsanto cites no Missouri cases to the contrary. Instead, it cites the Eighth Circuit’s decision in</w:t>
      </w:r>
      <w:r w:rsidRPr="00C43543">
        <w:rPr>
          <w:i/>
          <w:iCs/>
          <w:szCs w:val="28"/>
          <w14:ligatures w14:val="standardContextual"/>
        </w:rPr>
        <w:t xml:space="preserve"> Smith v. Firestone Tire &amp; Rubber Co.</w:t>
      </w:r>
      <w:r w:rsidRPr="00C43543">
        <w:rPr>
          <w:szCs w:val="28"/>
          <w14:ligatures w14:val="standardContextual"/>
        </w:rPr>
        <w:t>, 755 F.2d 129, 135 (8th Cir. 1985)</w:t>
      </w:r>
      <w:r w:rsidR="008E0DAF" w:rsidRPr="00C43543">
        <w:rPr>
          <w:szCs w:val="28"/>
          <w14:ligatures w14:val="standardContextual"/>
        </w:rPr>
        <w:fldChar w:fldCharType="begin"/>
      </w:r>
      <w:r w:rsidR="008E0DAF" w:rsidRPr="00C43543">
        <w:rPr>
          <w:szCs w:val="28"/>
          <w14:ligatures w14:val="standardContextual"/>
        </w:rPr>
        <w:instrText xml:space="preserve"> TA \l "</w:instrText>
      </w:r>
      <w:r w:rsidR="008E0DAF" w:rsidRPr="00C43543">
        <w:rPr>
          <w:i/>
          <w:iCs/>
          <w:szCs w:val="28"/>
          <w14:ligatures w14:val="standardContextual"/>
        </w:rPr>
        <w:instrText>Smith v. Firestone Tire &amp; Rubber Co.</w:instrText>
      </w:r>
      <w:r w:rsidR="008E0DAF" w:rsidRPr="00C43543">
        <w:rPr>
          <w:szCs w:val="28"/>
          <w14:ligatures w14:val="standardContextual"/>
        </w:rPr>
        <w:instrText>,</w:instrText>
      </w:r>
      <w:r w:rsidR="008E0DAF" w:rsidRPr="00C43543">
        <w:rPr>
          <w:szCs w:val="28"/>
          <w14:ligatures w14:val="standardContextual"/>
        </w:rPr>
        <w:br/>
        <w:instrText xml:space="preserve">755 F.2d 129 (8th Cir. 1985)" \s "Smith v. Firestone, 755 F.2d 129" \c 1 </w:instrText>
      </w:r>
      <w:r w:rsidR="008E0DAF" w:rsidRPr="00C43543">
        <w:rPr>
          <w:szCs w:val="28"/>
          <w14:ligatures w14:val="standardContextual"/>
        </w:rPr>
        <w:fldChar w:fldCharType="end"/>
      </w:r>
      <w:r w:rsidRPr="00C43543">
        <w:rPr>
          <w:szCs w:val="28"/>
          <w14:ligatures w14:val="standardContextual"/>
        </w:rPr>
        <w:t xml:space="preserve">. </w:t>
      </w:r>
      <w:r w:rsidRPr="00C43543">
        <w:rPr>
          <w:iCs/>
          <w:szCs w:val="28"/>
          <w14:ligatures w14:val="standardContextual"/>
        </w:rPr>
        <w:t xml:space="preserve">But </w:t>
      </w:r>
      <w:r w:rsidRPr="00C43543">
        <w:rPr>
          <w:i/>
          <w:szCs w:val="28"/>
          <w14:ligatures w14:val="standardContextual"/>
        </w:rPr>
        <w:t xml:space="preserve">Smith </w:t>
      </w:r>
      <w:r w:rsidRPr="00C43543">
        <w:rPr>
          <w:iCs/>
          <w:szCs w:val="28"/>
          <w14:ligatures w14:val="standardContextual"/>
        </w:rPr>
        <w:t xml:space="preserve">was not about a post-sale duty to warn; it held only that Missouri law imposes no “duty to </w:t>
      </w:r>
      <w:r w:rsidRPr="00C43543">
        <w:rPr>
          <w:i/>
          <w:szCs w:val="28"/>
          <w14:ligatures w14:val="standardContextual"/>
        </w:rPr>
        <w:t>recall</w:t>
      </w:r>
      <w:r w:rsidRPr="00C43543">
        <w:rPr>
          <w:iCs/>
          <w:szCs w:val="28"/>
          <w14:ligatures w14:val="standardContextual"/>
        </w:rPr>
        <w:t xml:space="preserve">” defective products—an entirely different issue. </w:t>
      </w:r>
      <w:r w:rsidRPr="00C43543">
        <w:rPr>
          <w:i/>
          <w:szCs w:val="28"/>
          <w14:ligatures w14:val="standardContextual"/>
        </w:rPr>
        <w:t>Id.</w:t>
      </w:r>
      <w:r w:rsidRPr="00C43543">
        <w:rPr>
          <w:iCs/>
          <w:szCs w:val="28"/>
          <w14:ligatures w14:val="standardContextual"/>
        </w:rPr>
        <w:t xml:space="preserve"> at 135</w:t>
      </w:r>
      <w:r w:rsidR="008E0DAF" w:rsidRPr="00C43543">
        <w:rPr>
          <w:iCs/>
          <w:szCs w:val="28"/>
          <w14:ligatures w14:val="standardContextual"/>
        </w:rPr>
        <w:fldChar w:fldCharType="begin"/>
      </w:r>
      <w:r w:rsidR="008E0DAF" w:rsidRPr="00C43543">
        <w:rPr>
          <w:szCs w:val="28"/>
          <w14:ligatures w14:val="standardContextual"/>
        </w:rPr>
        <w:instrText xml:space="preserve"> TA \s "Smith v. Firestone, 755 F.2d 129" </w:instrText>
      </w:r>
      <w:r w:rsidR="008E0DAF" w:rsidRPr="00C43543">
        <w:rPr>
          <w:iCs/>
          <w:szCs w:val="28"/>
          <w14:ligatures w14:val="standardContextual"/>
        </w:rPr>
        <w:fldChar w:fldCharType="end"/>
      </w:r>
      <w:r w:rsidRPr="00C43543">
        <w:rPr>
          <w:iCs/>
          <w:szCs w:val="28"/>
          <w14:ligatures w14:val="standardContextual"/>
        </w:rPr>
        <w:t xml:space="preserve"> (emphasis added). </w:t>
      </w:r>
    </w:p>
    <w:p w14:paraId="58046917" w14:textId="5C3AC0CE" w:rsidR="00DF4DD8" w:rsidRPr="00C43543" w:rsidRDefault="00DF4DD8" w:rsidP="00DF4DD8">
      <w:pPr>
        <w:pStyle w:val="BodyText"/>
        <w:rPr>
          <w:szCs w:val="28"/>
          <w14:ligatures w14:val="standardContextual"/>
        </w:rPr>
      </w:pPr>
      <w:r w:rsidRPr="00C43543">
        <w:rPr>
          <w:szCs w:val="28"/>
          <w14:ligatures w14:val="standardContextual"/>
        </w:rPr>
        <w:t xml:space="preserve">Missouri’s “products liability cases have relied heavily on Restatement (Second) of Torts.” </w:t>
      </w:r>
      <w:r w:rsidRPr="00C43543">
        <w:rPr>
          <w:i/>
          <w:iCs/>
          <w:szCs w:val="28"/>
          <w14:ligatures w14:val="standardContextual"/>
        </w:rPr>
        <w:t>Porter v. Crawford Co.</w:t>
      </w:r>
      <w:r w:rsidRPr="00C43543">
        <w:rPr>
          <w:szCs w:val="28"/>
          <w14:ligatures w14:val="standardContextual"/>
        </w:rPr>
        <w:t>, 611 S.W.2d 265, 272 (Mo. Ct. App. 1981)</w:t>
      </w:r>
      <w:r w:rsidR="008E0DAF" w:rsidRPr="00C43543">
        <w:rPr>
          <w:szCs w:val="28"/>
          <w14:ligatures w14:val="standardContextual"/>
        </w:rPr>
        <w:fldChar w:fldCharType="begin"/>
      </w:r>
      <w:r w:rsidR="008E0DAF" w:rsidRPr="00C43543">
        <w:rPr>
          <w:szCs w:val="28"/>
          <w14:ligatures w14:val="standardContextual"/>
        </w:rPr>
        <w:instrText xml:space="preserve"> TA \l "</w:instrText>
      </w:r>
      <w:r w:rsidR="008E0DAF" w:rsidRPr="00C43543">
        <w:rPr>
          <w:i/>
          <w:iCs/>
          <w:szCs w:val="28"/>
          <w14:ligatures w14:val="standardContextual"/>
        </w:rPr>
        <w:instrText>Porter v. Crawford Co.</w:instrText>
      </w:r>
      <w:r w:rsidR="008E0DAF" w:rsidRPr="00C43543">
        <w:rPr>
          <w:szCs w:val="28"/>
          <w14:ligatures w14:val="standardContextual"/>
        </w:rPr>
        <w:instrText>,</w:instrText>
      </w:r>
      <w:r w:rsidR="008E0DAF" w:rsidRPr="00C43543">
        <w:rPr>
          <w:szCs w:val="28"/>
          <w14:ligatures w14:val="standardContextual"/>
        </w:rPr>
        <w:br/>
        <w:instrText xml:space="preserve">611 S.W.2d 265 (Mo. Ct. App. 1981)" \s "Porter v. Crawford, 611 S.W.2d 265" \c 1 </w:instrText>
      </w:r>
      <w:r w:rsidR="008E0DAF" w:rsidRPr="00C43543">
        <w:rPr>
          <w:szCs w:val="28"/>
          <w14:ligatures w14:val="standardContextual"/>
        </w:rPr>
        <w:fldChar w:fldCharType="end"/>
      </w:r>
      <w:r w:rsidRPr="00C43543">
        <w:rPr>
          <w:szCs w:val="28"/>
          <w14:ligatures w14:val="standardContextual"/>
        </w:rPr>
        <w:t xml:space="preserve">. The Restatement rule does not exclude a duty to make post-sale warnings, and many courts have </w:t>
      </w:r>
      <w:r w:rsidRPr="00C43543">
        <w:rPr>
          <w:szCs w:val="28"/>
          <w14:ligatures w14:val="standardContextual"/>
        </w:rPr>
        <w:lastRenderedPageBreak/>
        <w:t xml:space="preserve">relied on it in permitting post-sale-claims. </w:t>
      </w:r>
      <w:r w:rsidRPr="00C43543">
        <w:rPr>
          <w:i/>
          <w:szCs w:val="28"/>
          <w14:ligatures w14:val="standardContextual"/>
        </w:rPr>
        <w:t>See, e.g.</w:t>
      </w:r>
      <w:r w:rsidRPr="00C43543">
        <w:rPr>
          <w:iCs/>
          <w:szCs w:val="28"/>
          <w14:ligatures w14:val="standardContextual"/>
        </w:rPr>
        <w:t xml:space="preserve">, </w:t>
      </w:r>
      <w:r w:rsidRPr="00C43543">
        <w:rPr>
          <w:i/>
          <w:szCs w:val="28"/>
          <w14:ligatures w14:val="standardContextual"/>
        </w:rPr>
        <w:t>In re Gen. Motors LLC Ignition Switch Litig.</w:t>
      </w:r>
      <w:r w:rsidRPr="00C43543">
        <w:rPr>
          <w:iCs/>
          <w:szCs w:val="28"/>
          <w14:ligatures w14:val="standardContextual"/>
        </w:rPr>
        <w:t>, 202 F. Supp. 3d 362, 366-67 (S.D.N.Y. 2016)</w:t>
      </w:r>
      <w:r w:rsidR="008E0DAF" w:rsidRPr="00C43543">
        <w:rPr>
          <w:iCs/>
          <w:szCs w:val="28"/>
          <w14:ligatures w14:val="standardContextual"/>
        </w:rPr>
        <w:fldChar w:fldCharType="begin"/>
      </w:r>
      <w:r w:rsidR="008E0DAF" w:rsidRPr="00C43543">
        <w:rPr>
          <w:szCs w:val="28"/>
          <w14:ligatures w14:val="standardContextual"/>
        </w:rPr>
        <w:instrText xml:space="preserve"> TA \l "</w:instrText>
      </w:r>
      <w:r w:rsidR="008E0DAF" w:rsidRPr="00C43543">
        <w:rPr>
          <w:i/>
          <w:szCs w:val="28"/>
          <w14:ligatures w14:val="standardContextual"/>
        </w:rPr>
        <w:instrText>In re: General Motors LLC Ignition Switch Litigation</w:instrText>
      </w:r>
      <w:r w:rsidR="008E0DAF" w:rsidRPr="00C43543">
        <w:rPr>
          <w:iCs/>
          <w:szCs w:val="28"/>
          <w14:ligatures w14:val="standardContextual"/>
        </w:rPr>
        <w:instrText>,</w:instrText>
      </w:r>
      <w:r w:rsidR="008E0DAF" w:rsidRPr="00C43543">
        <w:rPr>
          <w:iCs/>
          <w:szCs w:val="28"/>
          <w14:ligatures w14:val="standardContextual"/>
        </w:rPr>
        <w:br/>
        <w:instrText>202 F. Supp. 3d 362 (S.D.N.Y. 2016)</w:instrText>
      </w:r>
      <w:r w:rsidR="008E0DAF" w:rsidRPr="00C43543">
        <w:rPr>
          <w:szCs w:val="28"/>
          <w14:ligatures w14:val="standardContextual"/>
        </w:rPr>
        <w:instrText xml:space="preserve">" \s "Gen. Motors, 202 F. Supp. 3d 362" \c 1 </w:instrText>
      </w:r>
      <w:r w:rsidR="008E0DAF" w:rsidRPr="00C43543">
        <w:rPr>
          <w:iCs/>
          <w:szCs w:val="28"/>
          <w14:ligatures w14:val="standardContextual"/>
        </w:rPr>
        <w:fldChar w:fldCharType="end"/>
      </w:r>
      <w:r w:rsidRPr="00C43543">
        <w:rPr>
          <w:iCs/>
          <w:szCs w:val="28"/>
          <w14:ligatures w14:val="standardContextual"/>
        </w:rPr>
        <w:t xml:space="preserve">. That </w:t>
      </w:r>
      <w:r w:rsidRPr="00C43543">
        <w:rPr>
          <w:szCs w:val="28"/>
          <w14:ligatures w14:val="standardContextual"/>
        </w:rPr>
        <w:t xml:space="preserve">growing consensus led the drafters of the in-progress Restatement (Third) of Product Liability to expressly provide for liability for “failure to provide a warning after the time of sale.” </w:t>
      </w:r>
      <w:r w:rsidR="006301EA" w:rsidRPr="00C43543">
        <w:rPr>
          <w:szCs w:val="28"/>
          <w14:ligatures w14:val="standardContextual"/>
        </w:rPr>
        <w:t xml:space="preserve">Restatement (Third) of Torts: Prod. </w:t>
      </w:r>
      <w:proofErr w:type="spellStart"/>
      <w:r w:rsidR="006301EA" w:rsidRPr="00C43543">
        <w:rPr>
          <w:szCs w:val="28"/>
          <w14:ligatures w14:val="standardContextual"/>
        </w:rPr>
        <w:t>Liab</w:t>
      </w:r>
      <w:proofErr w:type="spellEnd"/>
      <w:r w:rsidR="006301EA" w:rsidRPr="00C43543">
        <w:rPr>
          <w:szCs w:val="28"/>
          <w14:ligatures w14:val="standardContextual"/>
        </w:rPr>
        <w:t xml:space="preserve">. § 10(a) (May 2022). </w:t>
      </w:r>
      <w:r w:rsidRPr="00C43543">
        <w:rPr>
          <w:szCs w:val="28"/>
          <w14:ligatures w14:val="standardContextual"/>
        </w:rPr>
        <w:t xml:space="preserve">Given the Missouri Supreme Court’s long association with the Restatement and the “mandate of [its] organic law that there should be a remedy for every injury,” the Court “has not been reluctant to adopt new forms of action in tort based on Restatement principles” and is unlikely to depart from the Restatement view. </w:t>
      </w:r>
      <w:r w:rsidRPr="00C43543">
        <w:rPr>
          <w:i/>
          <w:iCs/>
          <w:szCs w:val="28"/>
          <w14:ligatures w14:val="standardContextual"/>
        </w:rPr>
        <w:t>Porter</w:t>
      </w:r>
      <w:r w:rsidRPr="00C43543">
        <w:rPr>
          <w:szCs w:val="28"/>
          <w14:ligatures w14:val="standardContextual"/>
        </w:rPr>
        <w:t>, 611 S.W.2d at 272</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Porter</w:instrText>
      </w:r>
      <w:r w:rsidR="00793A75" w:rsidRPr="00C43543">
        <w:rPr>
          <w:szCs w:val="28"/>
          <w14:ligatures w14:val="standardContextual"/>
        </w:rPr>
        <w:instrText xml:space="preserve">, 611 S.W.2d at 272" \s "Porter, 611 S.W.2d at 272" \c 1 </w:instrText>
      </w:r>
      <w:r w:rsidR="00793A75" w:rsidRPr="00C43543">
        <w:rPr>
          <w:szCs w:val="28"/>
          <w14:ligatures w14:val="standardContextual"/>
        </w:rPr>
        <w:fldChar w:fldCharType="end"/>
      </w:r>
      <w:r w:rsidRPr="00C43543">
        <w:rPr>
          <w:szCs w:val="28"/>
          <w14:ligatures w14:val="standardContextual"/>
        </w:rPr>
        <w:t>.</w:t>
      </w:r>
    </w:p>
    <w:p w14:paraId="3C407E9B" w14:textId="3443291A" w:rsidR="00DF4DD8" w:rsidRPr="00C43543" w:rsidRDefault="00DF4DD8" w:rsidP="00DF4DD8">
      <w:pPr>
        <w:pStyle w:val="BodyText"/>
        <w:rPr>
          <w:iCs/>
          <w:szCs w:val="28"/>
          <w14:ligatures w14:val="standardContextual"/>
        </w:rPr>
      </w:pPr>
      <w:r w:rsidRPr="00C43543">
        <w:rPr>
          <w:szCs w:val="28"/>
          <w14:ligatures w14:val="standardContextual"/>
        </w:rPr>
        <w:t xml:space="preserve">Even if there were reason to believe that Missouri would reject a post-sale duty to warn, Missouri law would still make punitive damages available based on Monsanto’s violation of </w:t>
      </w:r>
      <w:r w:rsidRPr="00C43543">
        <w:rPr>
          <w:i/>
          <w:iCs/>
          <w:szCs w:val="28"/>
          <w14:ligatures w14:val="standardContextual"/>
        </w:rPr>
        <w:t>Washington</w:t>
      </w:r>
      <w:r w:rsidRPr="00C43543">
        <w:rPr>
          <w:szCs w:val="28"/>
          <w14:ligatures w14:val="standardContextual"/>
        </w:rPr>
        <w:t xml:space="preserve">’s post-sale duty. Monsanto argues that, because a “claim for punitive damages is not an independent </w:t>
      </w:r>
      <w:r w:rsidR="00A53C62" w:rsidRPr="00C43543">
        <w:rPr>
          <w:szCs w:val="28"/>
          <w14:ligatures w14:val="standardContextual"/>
        </w:rPr>
        <w:t>cause of action</w:t>
      </w:r>
      <w:r w:rsidRPr="00C43543">
        <w:rPr>
          <w:szCs w:val="28"/>
          <w14:ligatures w14:val="standardContextual"/>
        </w:rPr>
        <w:t xml:space="preserve">,” it must be based on an “underlying cause of action.” </w:t>
      </w:r>
      <w:r w:rsidRPr="00C43543">
        <w:rPr>
          <w:i/>
          <w:iCs/>
          <w:szCs w:val="28"/>
          <w14:ligatures w14:val="standardContextual"/>
        </w:rPr>
        <w:t>Harris</w:t>
      </w:r>
      <w:r w:rsidR="00793A75" w:rsidRPr="00C43543">
        <w:rPr>
          <w:i/>
          <w:iCs/>
          <w:szCs w:val="28"/>
          <w14:ligatures w14:val="standardContextual"/>
        </w:rPr>
        <w:t xml:space="preserve"> v. </w:t>
      </w:r>
      <w:proofErr w:type="spellStart"/>
      <w:r w:rsidR="00793A75" w:rsidRPr="00C43543">
        <w:rPr>
          <w:i/>
          <w:iCs/>
          <w:szCs w:val="28"/>
          <w14:ligatures w14:val="standardContextual"/>
        </w:rPr>
        <w:t>Jungerman</w:t>
      </w:r>
      <w:proofErr w:type="spellEnd"/>
      <w:r w:rsidRPr="00C43543">
        <w:rPr>
          <w:szCs w:val="28"/>
          <w14:ligatures w14:val="standardContextual"/>
        </w:rPr>
        <w:t xml:space="preserve">, 560 S.W.3d </w:t>
      </w:r>
      <w:r w:rsidR="00793A75" w:rsidRPr="00C43543">
        <w:rPr>
          <w:szCs w:val="28"/>
          <w14:ligatures w14:val="standardContextual"/>
        </w:rPr>
        <w:t>549,</w:t>
      </w:r>
      <w:r w:rsidRPr="00C43543">
        <w:rPr>
          <w:szCs w:val="28"/>
          <w14:ligatures w14:val="standardContextual"/>
        </w:rPr>
        <w:t xml:space="preserve"> 555</w:t>
      </w:r>
      <w:r w:rsidR="00793A75" w:rsidRPr="00C43543">
        <w:rPr>
          <w:szCs w:val="28"/>
          <w14:ligatures w14:val="standardContextual"/>
        </w:rPr>
        <w:t xml:space="preserve"> (Mo. Ct. App. 2018)</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Harris v. Jungerman</w:instrText>
      </w:r>
      <w:r w:rsidR="00793A75" w:rsidRPr="00C43543">
        <w:rPr>
          <w:szCs w:val="28"/>
          <w14:ligatures w14:val="standardContextual"/>
        </w:rPr>
        <w:instrText>,</w:instrText>
      </w:r>
      <w:r w:rsidR="00793A75" w:rsidRPr="00C43543">
        <w:rPr>
          <w:szCs w:val="28"/>
          <w14:ligatures w14:val="standardContextual"/>
        </w:rPr>
        <w:br/>
        <w:instrText xml:space="preserve">560 S.W.3d 549 (Mo. Ct. App. 2018)" \s "Harris v. Jungerman, 560 S.W.3d 549" \c 1 </w:instrText>
      </w:r>
      <w:r w:rsidR="00793A75" w:rsidRPr="00C43543">
        <w:rPr>
          <w:szCs w:val="28"/>
          <w14:ligatures w14:val="standardContextual"/>
        </w:rPr>
        <w:fldChar w:fldCharType="end"/>
      </w:r>
      <w:r w:rsidRPr="00C43543">
        <w:rPr>
          <w:szCs w:val="28"/>
          <w14:ligatures w14:val="standardContextual"/>
        </w:rPr>
        <w:t xml:space="preserve">. But there </w:t>
      </w:r>
      <w:r w:rsidRPr="00C43543">
        <w:rPr>
          <w:i/>
          <w:iCs/>
          <w:szCs w:val="28"/>
          <w14:ligatures w14:val="standardContextual"/>
        </w:rPr>
        <w:t>is</w:t>
      </w:r>
      <w:r w:rsidRPr="00C43543">
        <w:rPr>
          <w:szCs w:val="28"/>
          <w14:ligatures w14:val="standardContextual"/>
        </w:rPr>
        <w:t xml:space="preserve"> an underlying cause of action here: the plaintiffs’ cause of action under the WPLA. </w:t>
      </w:r>
      <w:r w:rsidRPr="00C43543">
        <w:rPr>
          <w:szCs w:val="28"/>
          <w14:ligatures w14:val="standardContextual"/>
        </w:rPr>
        <w:lastRenderedPageBreak/>
        <w:t xml:space="preserve">Contrary to Monsanto’s claim, nothing in Missouri law requires punitive damages to be based on a Missouri cause of action. Punitive damages can also, for example, be based on violation of federal law, state or federal regulations, or industry standards. </w:t>
      </w:r>
      <w:r w:rsidRPr="00C43543">
        <w:rPr>
          <w:i/>
          <w:iCs/>
          <w:szCs w:val="28"/>
          <w14:ligatures w14:val="standardContextual"/>
        </w:rPr>
        <w:t>See, e.g.</w:t>
      </w:r>
      <w:r w:rsidRPr="00C43543">
        <w:rPr>
          <w:szCs w:val="28"/>
          <w14:ligatures w14:val="standardContextual"/>
        </w:rPr>
        <w:t xml:space="preserve">, </w:t>
      </w:r>
      <w:r w:rsidRPr="00C43543">
        <w:rPr>
          <w:i/>
          <w:iCs/>
          <w:szCs w:val="28"/>
          <w14:ligatures w14:val="standardContextual"/>
        </w:rPr>
        <w:t>Coon ex rel. Coon v. Am</w:t>
      </w:r>
      <w:r w:rsidR="00A27683" w:rsidRPr="00C43543">
        <w:rPr>
          <w:i/>
          <w:iCs/>
          <w:szCs w:val="28"/>
          <w14:ligatures w14:val="standardContextual"/>
        </w:rPr>
        <w:t>.</w:t>
      </w:r>
      <w:r w:rsidRPr="00C43543">
        <w:rPr>
          <w:i/>
          <w:iCs/>
          <w:szCs w:val="28"/>
          <w14:ligatures w14:val="standardContextual"/>
        </w:rPr>
        <w:t xml:space="preserve"> Compressed Steel, Inc.</w:t>
      </w:r>
      <w:r w:rsidRPr="00C43543">
        <w:rPr>
          <w:szCs w:val="28"/>
          <w14:ligatures w14:val="standardContextual"/>
        </w:rPr>
        <w:t>, 207 S.W.3d 629 (Mo. Ct. App. 2006)</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Coon ex rel. Coon v. American Compressed Steel, Inc.</w:instrText>
      </w:r>
      <w:r w:rsidR="00793A75" w:rsidRPr="00C43543">
        <w:rPr>
          <w:szCs w:val="28"/>
          <w14:ligatures w14:val="standardContextual"/>
        </w:rPr>
        <w:instrText>,</w:instrText>
      </w:r>
      <w:r w:rsidR="00793A75" w:rsidRPr="00C43543">
        <w:rPr>
          <w:szCs w:val="28"/>
          <w14:ligatures w14:val="standardContextual"/>
        </w:rPr>
        <w:br/>
        <w:instrText xml:space="preserve">207 S.W.3d 629 (Mo. Ct. App. 2006)" \s "Coon ex rel. Coon v. American Compressed Steel, Inc., 207 S.W.3d 629 (Mo. Ct. App. 2006)" \c 1 </w:instrText>
      </w:r>
      <w:r w:rsidR="00793A75" w:rsidRPr="00C43543">
        <w:rPr>
          <w:szCs w:val="28"/>
          <w14:ligatures w14:val="standardContextual"/>
        </w:rPr>
        <w:fldChar w:fldCharType="end"/>
      </w:r>
      <w:r w:rsidRPr="00C43543">
        <w:rPr>
          <w:szCs w:val="28"/>
          <w14:ligatures w14:val="standardContextual"/>
        </w:rPr>
        <w:t xml:space="preserve">; </w:t>
      </w:r>
      <w:r w:rsidR="00793A75" w:rsidRPr="00C43543">
        <w:rPr>
          <w:i/>
          <w:iCs/>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Blanks v. Fluor</w:instrText>
      </w:r>
      <w:r w:rsidR="00793A75" w:rsidRPr="00C43543">
        <w:rPr>
          <w:szCs w:val="28"/>
          <w14:ligatures w14:val="standardContextual"/>
        </w:rPr>
        <w:instrText>,</w:instrText>
      </w:r>
      <w:r w:rsidR="00793A75" w:rsidRPr="00C43543">
        <w:rPr>
          <w:szCs w:val="28"/>
          <w14:ligatures w14:val="standardContextual"/>
        </w:rPr>
        <w:br/>
        <w:instrText xml:space="preserve">450 S.W.3d 308 (Mo. Ct. App. 2014)" \s "Blanks v. Fluor, 450 S.W.3d 308" \c 1 </w:instrText>
      </w:r>
      <w:r w:rsidR="00793A75" w:rsidRPr="00C43543">
        <w:rPr>
          <w:i/>
          <w:iCs/>
          <w:szCs w:val="28"/>
          <w14:ligatures w14:val="standardContextual"/>
        </w:rPr>
        <w:fldChar w:fldCharType="end"/>
      </w:r>
      <w:r w:rsidR="00A27683" w:rsidRPr="00C43543">
        <w:rPr>
          <w:i/>
          <w:iCs/>
          <w:szCs w:val="28"/>
          <w14:ligatures w14:val="standardContextual"/>
        </w:rPr>
        <w:t xml:space="preserve"> Blanks v. Fluor</w:t>
      </w:r>
      <w:r w:rsidR="00A27683" w:rsidRPr="00C43543">
        <w:rPr>
          <w:szCs w:val="28"/>
          <w14:ligatures w14:val="standardContextual"/>
        </w:rPr>
        <w:t xml:space="preserve">, 450 S.W.3d 308, 403 (Mo. Ct. App. 2014). </w:t>
      </w:r>
      <w:r w:rsidRPr="00C43543">
        <w:rPr>
          <w:szCs w:val="28"/>
          <w14:ligatures w14:val="standardContextual"/>
        </w:rPr>
        <w:t>And</w:t>
      </w:r>
      <w:r w:rsidRPr="00C43543">
        <w:rPr>
          <w:iCs/>
          <w:szCs w:val="28"/>
          <w14:ligatures w14:val="standardContextual"/>
        </w:rPr>
        <w:t>, as explained above, Missouri has an interest in deterring conduct that demonstrates conscious disregard to the safety of others even if the injury occurred in another state.</w:t>
      </w:r>
    </w:p>
    <w:p w14:paraId="1145E5B1" w14:textId="550390F3" w:rsidR="00DF4DD8" w:rsidRPr="00C43543" w:rsidRDefault="00DF4DD8" w:rsidP="00DF4DD8">
      <w:pPr>
        <w:pStyle w:val="BodyText"/>
        <w:rPr>
          <w:szCs w:val="28"/>
          <w14:ligatures w14:val="standardContextual"/>
        </w:rPr>
      </w:pPr>
      <w:r w:rsidRPr="00C43543">
        <w:rPr>
          <w:szCs w:val="28"/>
          <w14:ligatures w14:val="standardContextual"/>
        </w:rPr>
        <w:t xml:space="preserve">Once again, Monsanto’s argument challenges the very concept of </w:t>
      </w:r>
      <w:proofErr w:type="spellStart"/>
      <w:r w:rsidRPr="00C43543">
        <w:rPr>
          <w:szCs w:val="28"/>
          <w14:ligatures w14:val="standardContextual"/>
        </w:rPr>
        <w:t>depecage</w:t>
      </w:r>
      <w:proofErr w:type="spellEnd"/>
      <w:r w:rsidRPr="00C43543">
        <w:rPr>
          <w:szCs w:val="28"/>
          <w14:ligatures w14:val="standardContextual"/>
        </w:rPr>
        <w:t xml:space="preserve">. The natural and expected effect of resolving choice of law issue-by-issue is to sometimes produce “a result that could not be obtained by the exclusive application of the law of one of the interested states.” </w:t>
      </w:r>
      <w:r w:rsidR="00A53C62" w:rsidRPr="00C43543">
        <w:rPr>
          <w:szCs w:val="28"/>
          <w14:ligatures w14:val="standardContextual"/>
        </w:rPr>
        <w:t xml:space="preserve">Reese, </w:t>
      </w:r>
      <w:r w:rsidR="004C1058" w:rsidRPr="00C43543">
        <w:rPr>
          <w:i/>
          <w:iCs/>
          <w:szCs w:val="28"/>
          <w14:ligatures w14:val="standardContextual"/>
        </w:rPr>
        <w:t>supra</w:t>
      </w:r>
      <w:r w:rsidR="00A53C62" w:rsidRPr="00C43543">
        <w:rPr>
          <w:szCs w:val="28"/>
          <w14:ligatures w14:val="standardContextual"/>
        </w:rPr>
        <w:t xml:space="preserve">, 73 Colum. L. Rev. </w:t>
      </w:r>
      <w:r w:rsidR="004C1058" w:rsidRPr="00C43543">
        <w:rPr>
          <w:szCs w:val="28"/>
          <w14:ligatures w14:val="standardContextual"/>
        </w:rPr>
        <w:t>at</w:t>
      </w:r>
      <w:r w:rsidR="00A53C62" w:rsidRPr="00C43543">
        <w:rPr>
          <w:szCs w:val="28"/>
          <w14:ligatures w14:val="standardContextual"/>
        </w:rPr>
        <w:t xml:space="preserve"> 75</w:t>
      </w:r>
      <w:r w:rsidR="00793A75" w:rsidRPr="00C43543">
        <w:rPr>
          <w:szCs w:val="28"/>
          <w14:ligatures w14:val="standardContextual"/>
        </w:rPr>
        <w:fldChar w:fldCharType="begin"/>
      </w:r>
      <w:r w:rsidR="00793A75" w:rsidRPr="00C43543">
        <w:rPr>
          <w:szCs w:val="28"/>
          <w14:ligatures w14:val="standardContextual"/>
        </w:rPr>
        <w:instrText xml:space="preserve"> TA \l "Reese, </w:instrText>
      </w:r>
      <w:r w:rsidR="00793A75" w:rsidRPr="00C43543">
        <w:rPr>
          <w:i/>
          <w:iCs/>
          <w:szCs w:val="28"/>
          <w14:ligatures w14:val="standardContextual"/>
        </w:rPr>
        <w:instrText>Dépeçage: A Common Phenomenon in Choice of Law</w:instrText>
      </w:r>
      <w:r w:rsidR="00793A75" w:rsidRPr="00C43543">
        <w:rPr>
          <w:szCs w:val="28"/>
          <w14:ligatures w14:val="standardContextual"/>
        </w:rPr>
        <w:instrText xml:space="preserve">, 73 Colum. L. Rev. 58, 75 (1973)" \s "Reese, Dépeçage: A Common Phenomenon in Choice of Law, 73 Colum. L. Rev. 58, 75 (1973)" \c 3 </w:instrText>
      </w:r>
      <w:r w:rsidR="00793A75" w:rsidRPr="00C43543">
        <w:rPr>
          <w:szCs w:val="28"/>
          <w14:ligatures w14:val="standardContextual"/>
        </w:rPr>
        <w:fldChar w:fldCharType="end"/>
      </w:r>
      <w:r w:rsidR="00A53C62" w:rsidRPr="00C43543">
        <w:rPr>
          <w:szCs w:val="28"/>
          <w14:ligatures w14:val="standardContextual"/>
        </w:rPr>
        <w:t xml:space="preserve">. </w:t>
      </w:r>
      <w:r w:rsidRPr="00C43543">
        <w:rPr>
          <w:szCs w:val="28"/>
          <w14:ligatures w14:val="standardContextual"/>
        </w:rPr>
        <w:t xml:space="preserve">But that “presents no difficulty, except in a situation where the purpose of one or more of the rules applied would be distorted.” </w:t>
      </w:r>
      <w:r w:rsidRPr="00C43543">
        <w:rPr>
          <w:i/>
          <w:iCs/>
          <w:szCs w:val="28"/>
          <w14:ligatures w14:val="standardContextual"/>
        </w:rPr>
        <w:t>Id.</w:t>
      </w:r>
      <w:r w:rsidR="00793A75" w:rsidRPr="00C43543">
        <w:rPr>
          <w:i/>
          <w:iCs/>
          <w:szCs w:val="28"/>
          <w14:ligatures w14:val="standardContextual"/>
        </w:rPr>
        <w:fldChar w:fldCharType="begin"/>
      </w:r>
      <w:r w:rsidR="00793A75" w:rsidRPr="00C43543">
        <w:rPr>
          <w:szCs w:val="28"/>
          <w14:ligatures w14:val="standardContextual"/>
        </w:rPr>
        <w:instrText xml:space="preserve"> TA \s "Reese, Dépeçage: A Common Phenomenon in Choice of Law, 73 Colum. L. Rev. 58, 75 (1973)" </w:instrText>
      </w:r>
      <w:r w:rsidR="00793A75" w:rsidRPr="00C43543">
        <w:rPr>
          <w:i/>
          <w:iCs/>
          <w:szCs w:val="28"/>
          <w14:ligatures w14:val="standardContextual"/>
        </w:rPr>
        <w:fldChar w:fldCharType="end"/>
      </w:r>
      <w:r w:rsidRPr="00C43543">
        <w:rPr>
          <w:szCs w:val="28"/>
          <w14:ligatures w14:val="standardContextual"/>
        </w:rPr>
        <w:t xml:space="preserve"> “While it might seem strange to apply the law of one jurisdiction to resolve liability issues, and the law of another to resolve damages </w:t>
      </w:r>
      <w:r w:rsidR="005125C7">
        <w:rPr>
          <w:szCs w:val="28"/>
          <w14:ligatures w14:val="standardContextual"/>
        </w:rPr>
        <w:br/>
      </w:r>
      <w:r w:rsidRPr="00C43543">
        <w:rPr>
          <w:szCs w:val="28"/>
          <w14:ligatures w14:val="standardContextual"/>
        </w:rPr>
        <w:t xml:space="preserve">claims </w:t>
      </w:r>
      <w:r w:rsidR="00B20C6E" w:rsidRPr="00C43543">
        <w:rPr>
          <w:szCs w:val="28"/>
          <w14:ligatures w14:val="standardContextual"/>
        </w:rPr>
        <w:t xml:space="preserve">. . . </w:t>
      </w:r>
      <w:r w:rsidRPr="00C43543">
        <w:rPr>
          <w:szCs w:val="28"/>
          <w14:ligatures w14:val="standardContextual"/>
        </w:rPr>
        <w:t xml:space="preserve">, the application of different states’ laws to different issues is not uncommon.” </w:t>
      </w:r>
      <w:r w:rsidRPr="00C43543">
        <w:rPr>
          <w:i/>
          <w:szCs w:val="28"/>
          <w14:ligatures w14:val="standardContextual"/>
        </w:rPr>
        <w:t>Barrett v. Ambient Pressure Diving, Ltd.</w:t>
      </w:r>
      <w:r w:rsidRPr="00C43543">
        <w:rPr>
          <w:szCs w:val="28"/>
          <w14:ligatures w14:val="standardContextual"/>
        </w:rPr>
        <w:t xml:space="preserve">, 2008 </w:t>
      </w:r>
      <w:r w:rsidRPr="00C43543">
        <w:rPr>
          <w:szCs w:val="28"/>
          <w14:ligatures w14:val="standardContextual"/>
        </w:rPr>
        <w:lastRenderedPageBreak/>
        <w:t xml:space="preserve">WL 4934021, at *2 (D.N.H. </w:t>
      </w:r>
      <w:r w:rsidR="00A27683" w:rsidRPr="00C43543">
        <w:rPr>
          <w:szCs w:val="28"/>
          <w14:ligatures w14:val="standardContextual"/>
        </w:rPr>
        <w:t xml:space="preserve">Nov. 17, </w:t>
      </w:r>
      <w:r w:rsidRPr="00C43543">
        <w:rPr>
          <w:szCs w:val="28"/>
          <w14:ligatures w14:val="standardContextual"/>
        </w:rPr>
        <w:t>2008)</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szCs w:val="28"/>
          <w14:ligatures w14:val="standardContextual"/>
        </w:rPr>
        <w:instrText>Barrett v. Ambient Pressure Diving, Ltd.</w:instrText>
      </w:r>
      <w:r w:rsidR="00793A75" w:rsidRPr="00C43543">
        <w:rPr>
          <w:szCs w:val="28"/>
          <w14:ligatures w14:val="standardContextual"/>
        </w:rPr>
        <w:instrText>,</w:instrText>
      </w:r>
      <w:r w:rsidR="00793A75" w:rsidRPr="00C43543">
        <w:rPr>
          <w:szCs w:val="28"/>
          <w14:ligatures w14:val="standardContextual"/>
        </w:rPr>
        <w:br/>
        <w:instrText xml:space="preserve">2008 WL 4934021 (D.N.H. 2008)" \s "Barrett v. Ambient Pressure Diving, Ltd., 2008 WL 4934021, at *2 (D.N.H. 2008)" \c 1 </w:instrText>
      </w:r>
      <w:r w:rsidR="00793A75"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e.g.</w:t>
      </w:r>
      <w:r w:rsidRPr="00C43543">
        <w:rPr>
          <w:szCs w:val="28"/>
          <w14:ligatures w14:val="standardContextual"/>
        </w:rPr>
        <w:t xml:space="preserve">, </w:t>
      </w:r>
      <w:r w:rsidRPr="00C43543">
        <w:rPr>
          <w:i/>
          <w:iCs/>
          <w:szCs w:val="28"/>
          <w14:ligatures w14:val="standardContextual"/>
        </w:rPr>
        <w:t>In re Air Crash Disaster Near New Orleans</w:t>
      </w:r>
      <w:r w:rsidRPr="00C43543">
        <w:rPr>
          <w:szCs w:val="28"/>
          <w14:ligatures w14:val="standardContextual"/>
        </w:rPr>
        <w:t>, 789 F.2d 1092, 1098 (5th Cir. 1986)</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In re Air Crash Disaster Near New Orleans</w:instrText>
      </w:r>
      <w:r w:rsidR="00793A75" w:rsidRPr="00C43543">
        <w:rPr>
          <w:szCs w:val="28"/>
          <w14:ligatures w14:val="standardContextual"/>
        </w:rPr>
        <w:instrText>,</w:instrText>
      </w:r>
      <w:r w:rsidR="00793A75" w:rsidRPr="00C43543">
        <w:rPr>
          <w:szCs w:val="28"/>
          <w14:ligatures w14:val="standardContextual"/>
        </w:rPr>
        <w:br/>
        <w:instrText xml:space="preserve">789 F.2d 1092 (5th Cir. 1986)" \s "In re Air Crash Disaster Near New Orleans, 789 F.2d 1092, 1098 (5th Cir. 1986)" \c 1 </w:instrText>
      </w:r>
      <w:r w:rsidR="00793A75" w:rsidRPr="00C43543">
        <w:rPr>
          <w:szCs w:val="28"/>
          <w14:ligatures w14:val="standardContextual"/>
        </w:rPr>
        <w:fldChar w:fldCharType="end"/>
      </w:r>
      <w:r w:rsidRPr="00C43543">
        <w:rPr>
          <w:szCs w:val="28"/>
          <w14:ligatures w14:val="standardContextual"/>
        </w:rPr>
        <w:t xml:space="preserve"> (applying Uruguayan law to a wrongful-death claim but Louisiana law to damages not available under Uruguayan law).</w:t>
      </w:r>
      <w:r w:rsidRPr="00C43543">
        <w:rPr>
          <w:rStyle w:val="FootnoteReference"/>
          <w:szCs w:val="28"/>
          <w14:ligatures w14:val="standardContextual"/>
        </w:rPr>
        <w:footnoteReference w:id="14"/>
      </w:r>
    </w:p>
    <w:p w14:paraId="6DE91E52" w14:textId="04DCAC9F" w:rsidR="005F69AE" w:rsidRPr="00C43543" w:rsidRDefault="00DF4DD8" w:rsidP="00DF4DD8">
      <w:pPr>
        <w:pStyle w:val="BodyText"/>
        <w:rPr>
          <w:szCs w:val="28"/>
          <w14:ligatures w14:val="standardContextual"/>
        </w:rPr>
      </w:pPr>
      <w:r w:rsidRPr="00C43543">
        <w:rPr>
          <w:szCs w:val="28"/>
          <w14:ligatures w14:val="standardContextual"/>
        </w:rPr>
        <w:t xml:space="preserve">Indeed, Missouri courts would themselves apply the state’s </w:t>
      </w:r>
      <w:proofErr w:type="gramStart"/>
      <w:r w:rsidRPr="00C43543">
        <w:rPr>
          <w:szCs w:val="28"/>
          <w14:ligatures w14:val="standardContextual"/>
        </w:rPr>
        <w:t>punitive-damages</w:t>
      </w:r>
      <w:proofErr w:type="gramEnd"/>
      <w:r w:rsidRPr="00C43543">
        <w:rPr>
          <w:szCs w:val="28"/>
          <w14:ligatures w14:val="standardContextual"/>
        </w:rPr>
        <w:t xml:space="preserve"> rule to the Washington claims in this case. Missouri’s choice-of-law rules, like Washington’s, hold that “[t]he </w:t>
      </w:r>
      <w:proofErr w:type="gramStart"/>
      <w:r w:rsidRPr="00C43543">
        <w:rPr>
          <w:szCs w:val="28"/>
          <w14:ligatures w14:val="standardContextual"/>
        </w:rPr>
        <w:t>measure</w:t>
      </w:r>
      <w:proofErr w:type="gramEnd"/>
      <w:r w:rsidRPr="00C43543">
        <w:rPr>
          <w:szCs w:val="28"/>
          <w14:ligatures w14:val="standardContextual"/>
        </w:rPr>
        <w:t xml:space="preserve"> and elements of damages are controlled, in tort actions, by the law of the place where the tort was committed, since this pertains to the substance of the right and not to the remedy.” </w:t>
      </w:r>
      <w:r w:rsidR="00A53C62" w:rsidRPr="00C43543">
        <w:rPr>
          <w:i/>
          <w:iCs/>
          <w:szCs w:val="28"/>
          <w14:ligatures w14:val="standardContextual"/>
        </w:rPr>
        <w:t>Stevens v. Mo. Pac. R.R</w:t>
      </w:r>
      <w:r w:rsidR="00A27683" w:rsidRPr="00C43543">
        <w:rPr>
          <w:i/>
          <w:iCs/>
          <w:szCs w:val="28"/>
          <w14:ligatures w14:val="standardContextual"/>
        </w:rPr>
        <w:t>.,</w:t>
      </w:r>
      <w:r w:rsidR="00A53C62" w:rsidRPr="00C43543">
        <w:rPr>
          <w:i/>
          <w:iCs/>
          <w:szCs w:val="28"/>
          <w14:ligatures w14:val="standardContextual"/>
        </w:rPr>
        <w:t xml:space="preserve"> Co.,</w:t>
      </w:r>
      <w:r w:rsidR="00A53C62" w:rsidRPr="00C43543">
        <w:rPr>
          <w:szCs w:val="28"/>
          <w14:ligatures w14:val="standardContextual"/>
        </w:rPr>
        <w:t xml:space="preserve"> 355 S.W.2d 122, 131 (Mo. 1962)</w:t>
      </w:r>
      <w:r w:rsidR="00793A75" w:rsidRPr="00C43543">
        <w:rPr>
          <w:szCs w:val="28"/>
          <w14:ligatures w14:val="standardContextual"/>
        </w:rPr>
        <w:fldChar w:fldCharType="begin"/>
      </w:r>
      <w:r w:rsidR="00793A75" w:rsidRPr="00C43543">
        <w:rPr>
          <w:szCs w:val="28"/>
          <w14:ligatures w14:val="standardContextual"/>
        </w:rPr>
        <w:instrText xml:space="preserve"> TA \l "</w:instrText>
      </w:r>
      <w:r w:rsidR="00793A75" w:rsidRPr="00C43543">
        <w:rPr>
          <w:i/>
          <w:iCs/>
          <w:szCs w:val="28"/>
          <w14:ligatures w14:val="standardContextual"/>
        </w:rPr>
        <w:instrText>Stevens v. Missouri Pacific Railroad Co.,</w:instrText>
      </w:r>
      <w:r w:rsidR="00793A75" w:rsidRPr="00C43543">
        <w:rPr>
          <w:szCs w:val="28"/>
          <w14:ligatures w14:val="standardContextual"/>
        </w:rPr>
        <w:br/>
        <w:instrText xml:space="preserve">355 S.W.2d 122 (Mo. 1962)" \s "Stevens v. Mo. Pac., 355 S.W.2d 122" \c 1 </w:instrText>
      </w:r>
      <w:r w:rsidR="00793A75" w:rsidRPr="00C43543">
        <w:rPr>
          <w:szCs w:val="28"/>
          <w14:ligatures w14:val="standardContextual"/>
        </w:rPr>
        <w:fldChar w:fldCharType="end"/>
      </w:r>
      <w:r w:rsidR="00A53C62" w:rsidRPr="00C43543">
        <w:rPr>
          <w:szCs w:val="28"/>
          <w14:ligatures w14:val="standardContextual"/>
        </w:rPr>
        <w:t>.</w:t>
      </w:r>
      <w:r w:rsidRPr="00C43543">
        <w:rPr>
          <w:szCs w:val="28"/>
          <w14:ligatures w14:val="standardContextual"/>
        </w:rPr>
        <w:t xml:space="preserve"> Here, “the </w:t>
      </w:r>
      <w:r w:rsidRPr="00C43543">
        <w:rPr>
          <w:szCs w:val="28"/>
          <w14:ligatures w14:val="standardContextual"/>
        </w:rPr>
        <w:lastRenderedPageBreak/>
        <w:t>place where the tort was committed” is Missouri. The governing law of punitive damages is thus the law of Missouri, and the “fact that these courts would have applied” the state’s punitive</w:t>
      </w:r>
      <w:r w:rsidR="005125C7">
        <w:rPr>
          <w:szCs w:val="28"/>
          <w14:ligatures w14:val="standardContextual"/>
        </w:rPr>
        <w:t>-</w:t>
      </w:r>
      <w:r w:rsidRPr="00C43543">
        <w:rPr>
          <w:szCs w:val="28"/>
          <w14:ligatures w14:val="standardContextual"/>
        </w:rPr>
        <w:t>damage</w:t>
      </w:r>
      <w:r w:rsidR="005125C7">
        <w:rPr>
          <w:szCs w:val="28"/>
          <w14:ligatures w14:val="standardContextual"/>
        </w:rPr>
        <w:t>s</w:t>
      </w:r>
      <w:r w:rsidRPr="00C43543">
        <w:rPr>
          <w:szCs w:val="28"/>
          <w14:ligatures w14:val="standardContextual"/>
        </w:rPr>
        <w:t xml:space="preserve"> rule shows “that an important interest of that state would be served” by also applying it here. Restatement (Second) of Conflict of Laws § 145, </w:t>
      </w:r>
      <w:proofErr w:type="spellStart"/>
      <w:r w:rsidRPr="00C43543">
        <w:rPr>
          <w:szCs w:val="28"/>
          <w14:ligatures w14:val="standardContextual"/>
        </w:rPr>
        <w:t>cmt</w:t>
      </w:r>
      <w:proofErr w:type="spellEnd"/>
      <w:r w:rsidRPr="00C43543">
        <w:rPr>
          <w:szCs w:val="28"/>
          <w14:ligatures w14:val="standardContextual"/>
        </w:rPr>
        <w:t>. h.</w:t>
      </w:r>
      <w:r w:rsidR="002A40BB" w:rsidRPr="00C43543">
        <w:rPr>
          <w:szCs w:val="28"/>
          <w14:ligatures w14:val="standardContextual"/>
        </w:rPr>
        <w:fldChar w:fldCharType="begin"/>
      </w:r>
      <w:r w:rsidR="002A40BB" w:rsidRPr="00C43543">
        <w:rPr>
          <w:szCs w:val="28"/>
          <w14:ligatures w14:val="standardContextual"/>
        </w:rPr>
        <w:instrText xml:space="preserve"> TA \s "Restatement (Second) of Conflict of Laws § 145" </w:instrText>
      </w:r>
      <w:r w:rsidR="002A40BB" w:rsidRPr="00C43543">
        <w:rPr>
          <w:szCs w:val="28"/>
          <w14:ligatures w14:val="standardContextual"/>
        </w:rPr>
        <w:fldChar w:fldCharType="end"/>
      </w:r>
    </w:p>
    <w:p w14:paraId="153D536C" w14:textId="5433E960" w:rsidR="00F073BE" w:rsidRPr="00C43543" w:rsidRDefault="004432C0" w:rsidP="00FC3399">
      <w:pPr>
        <w:pStyle w:val="Heading2"/>
        <w:rPr>
          <w:rFonts w:ascii="Adobe Garamond Pro" w:hAnsi="Adobe Garamond Pro"/>
          <w14:ligatures w14:val="standardContextual"/>
        </w:rPr>
      </w:pPr>
      <w:bookmarkStart w:id="55" w:name="_Toc109728341"/>
      <w:r w:rsidRPr="00C43543">
        <w:rPr>
          <w:rFonts w:ascii="Adobe Garamond Pro" w:hAnsi="Adobe Garamond Pro"/>
          <w14:ligatures w14:val="standardContextual"/>
        </w:rPr>
        <w:t>The trial court correctly declined to give Monsanto’s proposed “relevant product” and “sophisticated purchaser” instructions because neither finds support in the law or the record</w:t>
      </w:r>
      <w:r w:rsidR="00F073BE" w:rsidRPr="00C43543">
        <w:rPr>
          <w:rFonts w:ascii="Adobe Garamond Pro" w:hAnsi="Adobe Garamond Pro"/>
          <w14:ligatures w14:val="standardContextual"/>
        </w:rPr>
        <w:t>.</w:t>
      </w:r>
      <w:bookmarkEnd w:id="55"/>
    </w:p>
    <w:p w14:paraId="1A6A8F6D" w14:textId="77777777" w:rsidR="001C2B7C" w:rsidRPr="00C43543" w:rsidRDefault="001C2B7C" w:rsidP="001C2B7C">
      <w:pPr>
        <w:pStyle w:val="BodyText"/>
        <w:rPr>
          <w:szCs w:val="28"/>
          <w14:ligatures w14:val="standardContextual"/>
        </w:rPr>
      </w:pPr>
      <w:r w:rsidRPr="00C43543">
        <w:rPr>
          <w:szCs w:val="28"/>
          <w14:ligatures w14:val="standardContextual"/>
        </w:rPr>
        <w:t xml:space="preserve">The trial court afforded Monsanto ample opportunity to argue to the jury that the real cause of the plaintiffs’ injuries was the failure of light ballasts and downstream product manufacturers who, like </w:t>
      </w:r>
      <w:r w:rsidRPr="00C43543">
        <w:rPr>
          <w:color w:val="000000" w:themeColor="text1"/>
          <w:szCs w:val="28"/>
          <w14:ligatures w14:val="standardContextual"/>
        </w:rPr>
        <w:t xml:space="preserve">Monsanto, issued no warnings about the dangers of PCBs. The jury disagreed. </w:t>
      </w:r>
      <w:r w:rsidRPr="00C43543">
        <w:rPr>
          <w:szCs w:val="28"/>
          <w14:ligatures w14:val="standardContextual"/>
        </w:rPr>
        <w:t xml:space="preserve">Unsatisfied, Monsanto asks this Court to order a new trial because the trial court refused to give two instructions that Monsanto proposed to support its theory of the case. Neither instruction finds support in the law or the record. </w:t>
      </w:r>
    </w:p>
    <w:p w14:paraId="050D13D4" w14:textId="77777777" w:rsidR="001C2B7C" w:rsidRPr="00C43543" w:rsidRDefault="001C2B7C" w:rsidP="00FC3399">
      <w:pPr>
        <w:pStyle w:val="Heading3"/>
        <w:rPr>
          <w:rFonts w:ascii="Adobe Garamond Pro" w:hAnsi="Adobe Garamond Pro"/>
          <w14:ligatures w14:val="standardContextual"/>
        </w:rPr>
      </w:pPr>
      <w:bookmarkStart w:id="56" w:name="_Toc109728342"/>
      <w:r w:rsidRPr="00C43543">
        <w:rPr>
          <w:rFonts w:ascii="Adobe Garamond Pro" w:hAnsi="Adobe Garamond Pro"/>
          <w14:ligatures w14:val="standardContextual"/>
        </w:rPr>
        <w:t>Monsanto’s argument that the “relevant product” must “fail” misapprehends the WPLA.</w:t>
      </w:r>
      <w:bookmarkEnd w:id="56"/>
    </w:p>
    <w:p w14:paraId="61BE6D93" w14:textId="6B38FA96" w:rsidR="001C2B7C" w:rsidRPr="00C43543" w:rsidRDefault="001C2B7C" w:rsidP="001C2B7C">
      <w:pPr>
        <w:pStyle w:val="BodyText"/>
        <w:rPr>
          <w:szCs w:val="28"/>
          <w14:ligatures w14:val="standardContextual"/>
        </w:rPr>
      </w:pPr>
      <w:r w:rsidRPr="00C43543">
        <w:rPr>
          <w:szCs w:val="28"/>
          <w14:ligatures w14:val="standardContextual"/>
        </w:rPr>
        <w:t xml:space="preserve">Monsanto claims that the jury should have been instructed that it could find that </w:t>
      </w:r>
      <w:r w:rsidR="005274C7" w:rsidRPr="00C43543">
        <w:rPr>
          <w:szCs w:val="28"/>
          <w14:ligatures w14:val="standardContextual"/>
        </w:rPr>
        <w:t xml:space="preserve">classroom </w:t>
      </w:r>
      <w:r w:rsidRPr="00C43543">
        <w:rPr>
          <w:szCs w:val="28"/>
          <w14:ligatures w14:val="standardContextual"/>
        </w:rPr>
        <w:t>light ballasts</w:t>
      </w:r>
      <w:r w:rsidR="00742068" w:rsidRPr="00C43543">
        <w:rPr>
          <w:szCs w:val="28"/>
          <w14:ligatures w14:val="standardContextual"/>
        </w:rPr>
        <w:t>—</w:t>
      </w:r>
      <w:r w:rsidR="005274C7" w:rsidRPr="00C43543">
        <w:rPr>
          <w:szCs w:val="28"/>
          <w14:ligatures w14:val="standardContextual"/>
        </w:rPr>
        <w:t>not</w:t>
      </w:r>
      <w:r w:rsidR="00742068" w:rsidRPr="00C43543">
        <w:rPr>
          <w:szCs w:val="28"/>
          <w14:ligatures w14:val="standardContextual"/>
        </w:rPr>
        <w:t xml:space="preserve"> PCBs—</w:t>
      </w:r>
      <w:r w:rsidRPr="00C43543">
        <w:rPr>
          <w:szCs w:val="28"/>
          <w14:ligatures w14:val="standardContextual"/>
        </w:rPr>
        <w:t xml:space="preserve">were </w:t>
      </w:r>
      <w:r w:rsidRPr="00C43543">
        <w:rPr>
          <w:szCs w:val="28"/>
          <w14:ligatures w14:val="standardContextual"/>
        </w:rPr>
        <w:lastRenderedPageBreak/>
        <w:t>the “relevant product” under the WPLA because</w:t>
      </w:r>
      <w:r w:rsidR="006D1941" w:rsidRPr="00C43543">
        <w:rPr>
          <w:szCs w:val="28"/>
          <w14:ligatures w14:val="standardContextual"/>
        </w:rPr>
        <w:t>, to give rise to liability under Washington law,</w:t>
      </w:r>
      <w:r w:rsidRPr="00C43543">
        <w:rPr>
          <w:szCs w:val="28"/>
          <w14:ligatures w14:val="standardContextual"/>
        </w:rPr>
        <w:t xml:space="preserve"> a product must “fail</w:t>
      </w:r>
      <w:r w:rsidR="006D1941" w:rsidRPr="00C43543">
        <w:rPr>
          <w:szCs w:val="28"/>
          <w14:ligatures w14:val="standardContextual"/>
        </w:rPr>
        <w:t>.</w:t>
      </w:r>
      <w:r w:rsidRPr="00C43543">
        <w:rPr>
          <w:szCs w:val="28"/>
          <w14:ligatures w14:val="standardContextual"/>
        </w:rPr>
        <w:t xml:space="preserve">” This instruction rests on a basic category error. It confuses a limitation on </w:t>
      </w:r>
      <w:r w:rsidRPr="00C43543">
        <w:rPr>
          <w:i/>
          <w:iCs/>
          <w:szCs w:val="28"/>
          <w14:ligatures w14:val="standardContextual"/>
        </w:rPr>
        <w:t>who</w:t>
      </w:r>
      <w:r w:rsidRPr="00C43543">
        <w:rPr>
          <w:szCs w:val="28"/>
          <w14:ligatures w14:val="standardContextual"/>
        </w:rPr>
        <w:t xml:space="preserve"> may be sued (the maker of the product or component giving rise to the plaintiffs’ claims) with a substantive standard of liability (that the product must have “failed”). The former has a basis in the text of the WPLA; the latter doesn’t.</w:t>
      </w:r>
    </w:p>
    <w:p w14:paraId="617E9E21" w14:textId="1531AA99" w:rsidR="001C2B7C" w:rsidRPr="00C43543" w:rsidRDefault="001C2B7C" w:rsidP="001C2B7C">
      <w:pPr>
        <w:pStyle w:val="BodyText"/>
        <w:rPr>
          <w:szCs w:val="28"/>
          <w14:ligatures w14:val="standardContextual"/>
        </w:rPr>
      </w:pPr>
      <w:r w:rsidRPr="00C43543">
        <w:rPr>
          <w:szCs w:val="28"/>
          <w14:ligatures w14:val="standardContextual"/>
        </w:rPr>
        <w:t>The WPLA provides a cause of action for people injured by a defective product in Washington. But it limits</w:t>
      </w:r>
      <w:r w:rsidR="00F63BA4" w:rsidRPr="00C43543">
        <w:rPr>
          <w:szCs w:val="28"/>
          <w14:ligatures w14:val="standardContextual"/>
        </w:rPr>
        <w:t xml:space="preserve"> </w:t>
      </w:r>
      <w:r w:rsidRPr="00C43543">
        <w:rPr>
          <w:szCs w:val="28"/>
          <w14:ligatures w14:val="standardContextual"/>
        </w:rPr>
        <w:t>who can be liable</w:t>
      </w:r>
      <w:r w:rsidR="00F63BA4" w:rsidRPr="00C43543">
        <w:rPr>
          <w:szCs w:val="28"/>
          <w14:ligatures w14:val="standardContextual"/>
        </w:rPr>
        <w:t xml:space="preserve"> through a series of statutory definitions</w:t>
      </w:r>
      <w:r w:rsidRPr="00C43543">
        <w:rPr>
          <w:szCs w:val="28"/>
          <w14:ligatures w14:val="standardContextual"/>
        </w:rPr>
        <w:t xml:space="preserve">. One limitation is that the defendant must be a “manufacturer” or “products seller,” terms defined </w:t>
      </w:r>
      <w:r w:rsidR="00F63BA4" w:rsidRPr="00C43543">
        <w:rPr>
          <w:szCs w:val="28"/>
          <w14:ligatures w14:val="standardContextual"/>
        </w:rPr>
        <w:t>as</w:t>
      </w:r>
      <w:r w:rsidRPr="00C43543">
        <w:rPr>
          <w:szCs w:val="28"/>
          <w14:ligatures w14:val="standardContextual"/>
        </w:rPr>
        <w:t xml:space="preserve"> those who engage in specific conduct that brings the “relevant product” to market and exposes the injured consumer. RCW</w:t>
      </w:r>
      <w:r w:rsidRPr="00C43543">
        <w:rPr>
          <w:i/>
          <w:iCs/>
          <w:szCs w:val="28"/>
          <w14:ligatures w14:val="standardContextual"/>
        </w:rPr>
        <w:t xml:space="preserve"> </w:t>
      </w:r>
      <w:r w:rsidRPr="00C43543">
        <w:rPr>
          <w:szCs w:val="28"/>
          <w14:ligatures w14:val="standardContextual"/>
        </w:rPr>
        <w:t>§ 7.72.010</w:t>
      </w:r>
      <w:r w:rsidR="003C0FF9" w:rsidRPr="00C43543">
        <w:rPr>
          <w:szCs w:val="28"/>
          <w14:ligatures w14:val="standardContextual"/>
        </w:rPr>
        <w:fldChar w:fldCharType="begin"/>
      </w:r>
      <w:r w:rsidR="003C0FF9" w:rsidRPr="00C43543">
        <w:rPr>
          <w:szCs w:val="28"/>
          <w14:ligatures w14:val="standardContextual"/>
        </w:rPr>
        <w:instrText xml:space="preserve"> TA \s "RCW § 7.72.010" </w:instrText>
      </w:r>
      <w:r w:rsidR="003C0FF9" w:rsidRPr="00C43543">
        <w:rPr>
          <w:szCs w:val="28"/>
          <w14:ligatures w14:val="standardContextual"/>
        </w:rPr>
        <w:fldChar w:fldCharType="end"/>
      </w:r>
      <w:r w:rsidRPr="00C43543">
        <w:rPr>
          <w:szCs w:val="28"/>
          <w14:ligatures w14:val="standardContextual"/>
        </w:rPr>
        <w:t xml:space="preserve">. “Relevant product” is also a defined term, meaning the “product or its component part or parts, which gave rise to the product liability claim.” </w:t>
      </w:r>
      <w:r w:rsidRPr="00C43543">
        <w:rPr>
          <w:i/>
          <w:iCs/>
          <w:szCs w:val="28"/>
          <w14:ligatures w14:val="standardContextual"/>
        </w:rPr>
        <w:t>Id.</w:t>
      </w:r>
      <w:r w:rsidRPr="00C43543">
        <w:rPr>
          <w:szCs w:val="28"/>
          <w14:ligatures w14:val="standardContextual"/>
        </w:rPr>
        <w:t xml:space="preserve"> § 7.72.010(3).</w:t>
      </w:r>
      <w:r w:rsidR="00A41080" w:rsidRPr="00C43543">
        <w:rPr>
          <w:szCs w:val="28"/>
          <w14:ligatures w14:val="standardContextual"/>
        </w:rPr>
        <w:fldChar w:fldCharType="begin"/>
      </w:r>
      <w:r w:rsidR="00A41080" w:rsidRPr="00C43543">
        <w:rPr>
          <w:szCs w:val="28"/>
          <w14:ligatures w14:val="standardContextual"/>
        </w:rPr>
        <w:instrText xml:space="preserve"> TA \s "RCW § 7.72.010" </w:instrText>
      </w:r>
      <w:r w:rsidR="00A41080" w:rsidRPr="00C43543">
        <w:rPr>
          <w:szCs w:val="28"/>
          <w14:ligatures w14:val="standardContextual"/>
        </w:rPr>
        <w:fldChar w:fldCharType="end"/>
      </w:r>
    </w:p>
    <w:p w14:paraId="5185503F" w14:textId="193E3387" w:rsidR="001C2B7C" w:rsidRPr="00C43543" w:rsidRDefault="001C2B7C" w:rsidP="001C2B7C">
      <w:pPr>
        <w:pStyle w:val="BodyText"/>
        <w:rPr>
          <w:szCs w:val="28"/>
          <w14:ligatures w14:val="standardContextual"/>
        </w:rPr>
      </w:pPr>
      <w:r w:rsidRPr="00C43543">
        <w:rPr>
          <w:szCs w:val="28"/>
          <w14:ligatures w14:val="standardContextual"/>
        </w:rPr>
        <w:t xml:space="preserve">Putting this all together, the WPLA imposes liability on those who make or sell the product that the plaintiff alleges has caused harm. By the same token, the WPLA does </w:t>
      </w:r>
      <w:r w:rsidRPr="00C43543">
        <w:rPr>
          <w:i/>
          <w:iCs/>
          <w:szCs w:val="28"/>
          <w14:ligatures w14:val="standardContextual"/>
        </w:rPr>
        <w:t>not</w:t>
      </w:r>
      <w:r w:rsidRPr="00C43543">
        <w:rPr>
          <w:szCs w:val="28"/>
          <w14:ligatures w14:val="standardContextual"/>
        </w:rPr>
        <w:t xml:space="preserve"> impose liability on entities only tangentially related to the “relevant product”—such as </w:t>
      </w:r>
      <w:r w:rsidRPr="00C43543">
        <w:rPr>
          <w:szCs w:val="28"/>
          <w14:ligatures w14:val="standardContextual"/>
        </w:rPr>
        <w:lastRenderedPageBreak/>
        <w:t>a shipping company or advertiser</w:t>
      </w:r>
      <w:r w:rsidR="005274C7" w:rsidRPr="00C43543">
        <w:rPr>
          <w:szCs w:val="28"/>
          <w14:ligatures w14:val="standardContextual"/>
        </w:rPr>
        <w:t xml:space="preserve"> or other companies</w:t>
      </w:r>
      <w:r w:rsidRPr="00C43543">
        <w:rPr>
          <w:szCs w:val="28"/>
          <w14:ligatures w14:val="standardContextual"/>
        </w:rPr>
        <w:t xml:space="preserve"> that developed a component that the plaintiff does </w:t>
      </w:r>
      <w:r w:rsidRPr="00C43543">
        <w:rPr>
          <w:i/>
          <w:iCs/>
          <w:szCs w:val="28"/>
          <w14:ligatures w14:val="standardContextual"/>
        </w:rPr>
        <w:t>not</w:t>
      </w:r>
      <w:r w:rsidRPr="00C43543">
        <w:rPr>
          <w:szCs w:val="28"/>
          <w14:ligatures w14:val="standardContextual"/>
        </w:rPr>
        <w:t xml:space="preserve"> allege caused harm. Because those entities aren’t in any position to remedy the defect in the “relevant product,” the WPLA, like the common law before it, doesn’t impose liability.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 xml:space="preserve">Simonetta v. </w:t>
      </w:r>
      <w:proofErr w:type="spellStart"/>
      <w:r w:rsidRPr="00C43543">
        <w:rPr>
          <w:i/>
          <w:iCs/>
          <w:szCs w:val="28"/>
          <w14:ligatures w14:val="standardContextual"/>
        </w:rPr>
        <w:t>Viad</w:t>
      </w:r>
      <w:proofErr w:type="spellEnd"/>
      <w:r w:rsidRPr="00C43543">
        <w:rPr>
          <w:i/>
          <w:iCs/>
          <w:szCs w:val="28"/>
          <w14:ligatures w14:val="standardContextual"/>
        </w:rPr>
        <w:t xml:space="preserve"> Corp</w:t>
      </w:r>
      <w:r w:rsidRPr="00C43543">
        <w:rPr>
          <w:szCs w:val="28"/>
          <w14:ligatures w14:val="standardContextual"/>
        </w:rPr>
        <w:t>., 165 Wn.2d 341, 353, 197 P.3d 127 (2008)</w:t>
      </w:r>
      <w:r w:rsidR="00A41080" w:rsidRPr="00C43543">
        <w:rPr>
          <w:szCs w:val="28"/>
          <w14:ligatures w14:val="standardContextual"/>
        </w:rPr>
        <w:fldChar w:fldCharType="begin"/>
      </w:r>
      <w:r w:rsidR="00A41080" w:rsidRPr="00C43543">
        <w:rPr>
          <w:szCs w:val="28"/>
          <w14:ligatures w14:val="standardContextual"/>
        </w:rPr>
        <w:instrText xml:space="preserve"> TA \l "</w:instrText>
      </w:r>
      <w:r w:rsidR="00A41080" w:rsidRPr="00C43543">
        <w:rPr>
          <w:i/>
          <w:iCs/>
          <w:szCs w:val="28"/>
          <w14:ligatures w14:val="standardContextual"/>
        </w:rPr>
        <w:instrText>Simonetta v. Viad Corp</w:instrText>
      </w:r>
      <w:r w:rsidR="00A41080" w:rsidRPr="00C43543">
        <w:rPr>
          <w:szCs w:val="28"/>
          <w14:ligatures w14:val="standardContextual"/>
        </w:rPr>
        <w:instrText>.,</w:instrText>
      </w:r>
      <w:r w:rsidR="00A41080" w:rsidRPr="00C43543">
        <w:rPr>
          <w:szCs w:val="28"/>
          <w14:ligatures w14:val="standardContextual"/>
        </w:rPr>
        <w:br/>
        <w:instrText xml:space="preserve">165 Wn.2d 341, 197 P.3d 127 (2008)" \s "Simonetta v. Viad Corp., 165 Wn.2d 341" \c 1 </w:instrText>
      </w:r>
      <w:r w:rsidR="00A41080" w:rsidRPr="00C43543">
        <w:rPr>
          <w:szCs w:val="28"/>
          <w14:ligatures w14:val="standardContextual"/>
        </w:rPr>
        <w:fldChar w:fldCharType="end"/>
      </w:r>
      <w:r w:rsidRPr="00C43543">
        <w:rPr>
          <w:i/>
          <w:iCs/>
          <w:szCs w:val="28"/>
          <w14:ligatures w14:val="standardContextual"/>
        </w:rPr>
        <w:t xml:space="preserve"> </w:t>
      </w:r>
      <w:r w:rsidRPr="00C43543">
        <w:rPr>
          <w:szCs w:val="28"/>
          <w14:ligatures w14:val="standardContextual"/>
        </w:rPr>
        <w:t>(explaining that Washington “generally limit[s] the analysis of the duty to warn of the hazards of a product to those in the chain of distribution of the product, such as manufacturers, suppliers, or sellers”).</w:t>
      </w:r>
    </w:p>
    <w:p w14:paraId="02646F2F" w14:textId="73403A9B" w:rsidR="001C2B7C" w:rsidRPr="00C43543" w:rsidRDefault="001C2B7C" w:rsidP="001C2B7C">
      <w:pPr>
        <w:pStyle w:val="BodyText"/>
        <w:rPr>
          <w:szCs w:val="28"/>
          <w14:ligatures w14:val="standardContextual"/>
        </w:rPr>
      </w:pPr>
      <w:r w:rsidRPr="00C43543">
        <w:rPr>
          <w:szCs w:val="28"/>
          <w14:ligatures w14:val="standardContextual"/>
        </w:rPr>
        <w:t>The trial court correctly applied the WPLA’s straightforward definitions and held that, as a matter of law, PCBs are the relevant product here. PCBs are the product that the plaintiffs alleged to be defective and the source of their injuries. They are, in other words, the “component part or parts” that “gave rise to the product liability claim.” RCW</w:t>
      </w:r>
      <w:r w:rsidRPr="00C43543">
        <w:rPr>
          <w:i/>
          <w:iCs/>
          <w:szCs w:val="28"/>
          <w14:ligatures w14:val="standardContextual"/>
        </w:rPr>
        <w:t xml:space="preserve"> </w:t>
      </w:r>
      <w:r w:rsidRPr="00C43543">
        <w:rPr>
          <w:szCs w:val="28"/>
          <w14:ligatures w14:val="standardContextual"/>
        </w:rPr>
        <w:t>§ 7.72.010(3)</w:t>
      </w:r>
      <w:r w:rsidR="00A41080" w:rsidRPr="00C43543">
        <w:rPr>
          <w:szCs w:val="28"/>
          <w14:ligatures w14:val="standardContextual"/>
        </w:rPr>
        <w:fldChar w:fldCharType="begin"/>
      </w:r>
      <w:r w:rsidR="00A41080" w:rsidRPr="00C43543">
        <w:rPr>
          <w:szCs w:val="28"/>
          <w14:ligatures w14:val="standardContextual"/>
        </w:rPr>
        <w:instrText xml:space="preserve"> TA \s "RCW § 7.72.010" </w:instrText>
      </w:r>
      <w:r w:rsidR="00A41080" w:rsidRPr="00C43543">
        <w:rPr>
          <w:szCs w:val="28"/>
          <w14:ligatures w14:val="standardContextual"/>
        </w:rPr>
        <w:fldChar w:fldCharType="end"/>
      </w:r>
      <w:r w:rsidRPr="00C43543">
        <w:rPr>
          <w:szCs w:val="28"/>
          <w14:ligatures w14:val="standardContextual"/>
        </w:rPr>
        <w:t xml:space="preserve">. The statute’s text thus compels that PCBs are the “relevant product,” and the case law confirms that conclusion.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w:t>
      </w:r>
      <w:proofErr w:type="spellStart"/>
      <w:r w:rsidRPr="00C43543">
        <w:rPr>
          <w:i/>
          <w:iCs/>
          <w:szCs w:val="28"/>
          <w14:ligatures w14:val="standardContextual"/>
        </w:rPr>
        <w:t>Parkins</w:t>
      </w:r>
      <w:proofErr w:type="spellEnd"/>
      <w:r w:rsidRPr="00C43543">
        <w:rPr>
          <w:i/>
          <w:iCs/>
          <w:szCs w:val="28"/>
          <w14:ligatures w14:val="standardContextual"/>
        </w:rPr>
        <w:t xml:space="preserve"> v. Van Doren Sales, Inc.</w:t>
      </w:r>
      <w:r w:rsidRPr="00C43543">
        <w:rPr>
          <w:szCs w:val="28"/>
          <w14:ligatures w14:val="standardContextual"/>
        </w:rPr>
        <w:t xml:space="preserve">, 45 </w:t>
      </w:r>
      <w:proofErr w:type="spellStart"/>
      <w:r w:rsidRPr="00C43543">
        <w:rPr>
          <w:szCs w:val="28"/>
          <w14:ligatures w14:val="standardContextual"/>
        </w:rPr>
        <w:t>Wn</w:t>
      </w:r>
      <w:proofErr w:type="spellEnd"/>
      <w:r w:rsidRPr="00C43543">
        <w:rPr>
          <w:szCs w:val="28"/>
          <w14:ligatures w14:val="standardContextual"/>
        </w:rPr>
        <w:t>. App. 19, 25, 724 P.2d 389 (1986)</w:t>
      </w:r>
      <w:r w:rsidR="00A41080" w:rsidRPr="00C43543">
        <w:rPr>
          <w:szCs w:val="28"/>
          <w14:ligatures w14:val="standardContextual"/>
        </w:rPr>
        <w:fldChar w:fldCharType="begin"/>
      </w:r>
      <w:r w:rsidR="00A41080" w:rsidRPr="00C43543">
        <w:rPr>
          <w:szCs w:val="28"/>
          <w14:ligatures w14:val="standardContextual"/>
        </w:rPr>
        <w:instrText xml:space="preserve"> TA \l "</w:instrText>
      </w:r>
      <w:r w:rsidR="00A41080" w:rsidRPr="00C43543">
        <w:rPr>
          <w:i/>
          <w:iCs/>
          <w:szCs w:val="28"/>
          <w14:ligatures w14:val="standardContextual"/>
        </w:rPr>
        <w:instrText>Parkins v. Van Doren Sales, Inc.</w:instrText>
      </w:r>
      <w:r w:rsidR="00A41080" w:rsidRPr="00C43543">
        <w:rPr>
          <w:szCs w:val="28"/>
          <w14:ligatures w14:val="standardContextual"/>
        </w:rPr>
        <w:instrText>,</w:instrText>
      </w:r>
      <w:r w:rsidR="00A41080" w:rsidRPr="00C43543">
        <w:rPr>
          <w:szCs w:val="28"/>
          <w14:ligatures w14:val="standardContextual"/>
        </w:rPr>
        <w:br/>
        <w:instrText xml:space="preserve">45 Wn. App. 19, 724 P.2d 389 (1986)" \s "Parkins v. Van Doren Sales, Inc., 45 Wn. App. 19, 25, 724 P.2d 389 (1986)" \c 1 </w:instrText>
      </w:r>
      <w:r w:rsidR="00A41080" w:rsidRPr="00C43543">
        <w:rPr>
          <w:szCs w:val="28"/>
          <w14:ligatures w14:val="standardContextual"/>
        </w:rPr>
        <w:fldChar w:fldCharType="end"/>
      </w:r>
      <w:r w:rsidRPr="00C43543">
        <w:rPr>
          <w:szCs w:val="28"/>
          <w14:ligatures w14:val="standardContextual"/>
        </w:rPr>
        <w:t xml:space="preserve"> (holding that the defendant manufactured the relevant product because, although it didn’t produce the completed “processing line,” “it did design and </w:t>
      </w:r>
      <w:r w:rsidRPr="00C43543">
        <w:rPr>
          <w:szCs w:val="28"/>
          <w14:ligatures w14:val="standardContextual"/>
        </w:rPr>
        <w:lastRenderedPageBreak/>
        <w:t>manufacture the component parts” that allegedly caused the plaintiff’s injury)</w:t>
      </w:r>
      <w:r w:rsidR="004830FD" w:rsidRPr="00C43543">
        <w:rPr>
          <w:szCs w:val="28"/>
          <w14:ligatures w14:val="standardContextual"/>
        </w:rPr>
        <w:t xml:space="preserve">; </w:t>
      </w:r>
      <w:r w:rsidR="004830FD" w:rsidRPr="00C43543">
        <w:rPr>
          <w:i/>
          <w:iCs/>
          <w:szCs w:val="28"/>
          <w14:ligatures w14:val="standardContextual"/>
        </w:rPr>
        <w:t>Martinez v. Callahan Mfg., Inc.</w:t>
      </w:r>
      <w:r w:rsidR="004830FD" w:rsidRPr="00C43543">
        <w:rPr>
          <w:szCs w:val="28"/>
          <w14:ligatures w14:val="standardContextual"/>
        </w:rPr>
        <w:t xml:space="preserve">, 114 </w:t>
      </w:r>
      <w:proofErr w:type="spellStart"/>
      <w:r w:rsidR="004830FD" w:rsidRPr="00C43543">
        <w:rPr>
          <w:szCs w:val="28"/>
          <w14:ligatures w14:val="standardContextual"/>
        </w:rPr>
        <w:t>Wn</w:t>
      </w:r>
      <w:proofErr w:type="spellEnd"/>
      <w:r w:rsidR="004830FD" w:rsidRPr="00C43543">
        <w:rPr>
          <w:szCs w:val="28"/>
          <w14:ligatures w14:val="standardContextual"/>
        </w:rPr>
        <w:t>. App. 1083, at *4 (2003)</w:t>
      </w:r>
      <w:r w:rsidR="00B911EC" w:rsidRPr="00C43543">
        <w:rPr>
          <w:szCs w:val="28"/>
          <w14:ligatures w14:val="standardContextual"/>
        </w:rPr>
        <w:fldChar w:fldCharType="begin"/>
      </w:r>
      <w:r w:rsidR="00B911EC" w:rsidRPr="00C43543">
        <w:rPr>
          <w:szCs w:val="28"/>
          <w14:ligatures w14:val="standardContextual"/>
        </w:rPr>
        <w:instrText xml:space="preserve"> TA \l "</w:instrText>
      </w:r>
      <w:r w:rsidR="00B911EC" w:rsidRPr="00C43543">
        <w:rPr>
          <w:i/>
          <w:iCs/>
          <w:szCs w:val="28"/>
          <w14:ligatures w14:val="standardContextual"/>
        </w:rPr>
        <w:instrText>Martinez v. Callahan Manufacturing,Inc.</w:instrText>
      </w:r>
      <w:r w:rsidR="00B911EC" w:rsidRPr="00C43543">
        <w:rPr>
          <w:szCs w:val="28"/>
          <w14:ligatures w14:val="standardContextual"/>
        </w:rPr>
        <w:instrText>,</w:instrText>
      </w:r>
      <w:r w:rsidR="00B911EC" w:rsidRPr="00C43543">
        <w:rPr>
          <w:szCs w:val="28"/>
          <w14:ligatures w14:val="standardContextual"/>
        </w:rPr>
        <w:br/>
        <w:instrText xml:space="preserve">114 Wn. App. 1083 (2003)" \s "Martinez v. Callahan Mfg, 114 Wn. App. 1083" \c 1 </w:instrText>
      </w:r>
      <w:r w:rsidR="00B911EC" w:rsidRPr="00C43543">
        <w:rPr>
          <w:szCs w:val="28"/>
          <w14:ligatures w14:val="standardContextual"/>
        </w:rPr>
        <w:fldChar w:fldCharType="end"/>
      </w:r>
      <w:r w:rsidR="004830FD" w:rsidRPr="00C43543">
        <w:rPr>
          <w:szCs w:val="28"/>
          <w14:ligatures w14:val="standardContextual"/>
        </w:rPr>
        <w:t xml:space="preserve"> (unpublished) (“[T]he trimmer component is distinct from the main hay press on which Mr. Martinez was injured. The ‘relevant product’ thus is the main hay press, not the trimmer component.”)</w:t>
      </w:r>
      <w:r w:rsidRPr="00C43543">
        <w:rPr>
          <w:szCs w:val="28"/>
          <w14:ligatures w14:val="standardContextual"/>
        </w:rPr>
        <w:t>.</w:t>
      </w:r>
      <w:r w:rsidR="004830FD" w:rsidRPr="00C43543">
        <w:rPr>
          <w:rStyle w:val="CommentReference"/>
          <w:rFonts w:eastAsia="Calibri" w:cs="Times New Roman"/>
          <w:sz w:val="28"/>
          <w:szCs w:val="28"/>
          <w14:ligatures w14:val="standardContextual"/>
        </w:rPr>
        <w:t xml:space="preserve"> </w:t>
      </w:r>
    </w:p>
    <w:p w14:paraId="620A1FEF" w14:textId="6A4B1E13" w:rsidR="001C2B7C" w:rsidRPr="00C43543" w:rsidRDefault="001C2B7C" w:rsidP="001C2B7C">
      <w:pPr>
        <w:pStyle w:val="BodyText"/>
        <w:rPr>
          <w:szCs w:val="28"/>
          <w14:ligatures w14:val="standardContextual"/>
        </w:rPr>
      </w:pPr>
      <w:r w:rsidRPr="00C43543">
        <w:rPr>
          <w:szCs w:val="28"/>
          <w14:ligatures w14:val="standardContextual"/>
        </w:rPr>
        <w:t xml:space="preserve">In asserting that the court should nevertheless have instructed the jury to the contrary, Monsanto attempts to transform the statute’s textual limits on who may be sued into an </w:t>
      </w:r>
      <w:proofErr w:type="spellStart"/>
      <w:r w:rsidRPr="00C43543">
        <w:rPr>
          <w:szCs w:val="28"/>
          <w14:ligatures w14:val="standardContextual"/>
        </w:rPr>
        <w:t>atextual</w:t>
      </w:r>
      <w:proofErr w:type="spellEnd"/>
      <w:r w:rsidRPr="00C43543">
        <w:rPr>
          <w:szCs w:val="28"/>
          <w14:ligatures w14:val="standardContextual"/>
        </w:rPr>
        <w:t xml:space="preserve"> standard of substantive liability. To do so, it cherry picks</w:t>
      </w:r>
      <w:r w:rsidR="005A57A8" w:rsidRPr="00C43543">
        <w:rPr>
          <w:szCs w:val="28"/>
          <w14:ligatures w14:val="standardContextual"/>
        </w:rPr>
        <w:t xml:space="preserve"> (at 52)</w:t>
      </w:r>
      <w:r w:rsidRPr="00C43543">
        <w:rPr>
          <w:szCs w:val="28"/>
          <w14:ligatures w14:val="standardContextual"/>
        </w:rPr>
        <w:t xml:space="preserve"> language from Division Two’s decision in </w:t>
      </w:r>
      <w:r w:rsidRPr="00C43543">
        <w:rPr>
          <w:i/>
          <w:iCs/>
          <w:szCs w:val="28"/>
          <w14:ligatures w14:val="standardContextual"/>
        </w:rPr>
        <w:t>Sepulveda</w:t>
      </w:r>
      <w:r w:rsidR="0065197C" w:rsidRPr="00C43543">
        <w:rPr>
          <w:i/>
          <w:iCs/>
          <w:szCs w:val="28"/>
          <w14:ligatures w14:val="standardContextual"/>
        </w:rPr>
        <w:t>-</w:t>
      </w:r>
      <w:r w:rsidRPr="00C43543">
        <w:rPr>
          <w:i/>
          <w:iCs/>
          <w:szCs w:val="28"/>
          <w14:ligatures w14:val="standardContextual"/>
        </w:rPr>
        <w:t>Esquivel v. Central Machine Works, Inc.</w:t>
      </w:r>
      <w:r w:rsidRPr="00C43543">
        <w:rPr>
          <w:szCs w:val="28"/>
          <w14:ligatures w14:val="standardContextual"/>
        </w:rPr>
        <w:t xml:space="preserve">, 120 </w:t>
      </w:r>
      <w:proofErr w:type="spellStart"/>
      <w:r w:rsidRPr="00C43543">
        <w:rPr>
          <w:szCs w:val="28"/>
          <w14:ligatures w14:val="standardContextual"/>
        </w:rPr>
        <w:t>Wn</w:t>
      </w:r>
      <w:proofErr w:type="spellEnd"/>
      <w:r w:rsidRPr="00C43543">
        <w:rPr>
          <w:szCs w:val="28"/>
          <w14:ligatures w14:val="standardContextual"/>
        </w:rPr>
        <w:t>. App. 12, 84 P.3d 895 (2004)</w:t>
      </w:r>
      <w:r w:rsidR="000E57E3" w:rsidRPr="00C43543">
        <w:rPr>
          <w:szCs w:val="28"/>
          <w14:ligatures w14:val="standardContextual"/>
        </w:rPr>
        <w:fldChar w:fldCharType="begin"/>
      </w:r>
      <w:r w:rsidR="000E57E3" w:rsidRPr="00C43543">
        <w:rPr>
          <w:szCs w:val="28"/>
          <w14:ligatures w14:val="standardContextual"/>
        </w:rPr>
        <w:instrText xml:space="preserve"> TA \l "</w:instrText>
      </w:r>
      <w:r w:rsidR="000E57E3" w:rsidRPr="00C43543">
        <w:rPr>
          <w:i/>
          <w:iCs/>
          <w:szCs w:val="28"/>
          <w14:ligatures w14:val="standardContextual"/>
        </w:rPr>
        <w:instrText>Sepulveda–Esquivel v. Central Machine Works, Inc.</w:instrText>
      </w:r>
      <w:r w:rsidR="000E57E3" w:rsidRPr="00C43543">
        <w:rPr>
          <w:szCs w:val="28"/>
          <w14:ligatures w14:val="standardContextual"/>
        </w:rPr>
        <w:instrText>,</w:instrText>
      </w:r>
      <w:r w:rsidR="000E57E3" w:rsidRPr="00C43543">
        <w:rPr>
          <w:szCs w:val="28"/>
          <w14:ligatures w14:val="standardContextual"/>
        </w:rPr>
        <w:br/>
        <w:instrText xml:space="preserve">120 Wn. App. 12, 84 P.3d 895 (2004)" \s "Sepulveda–Esquivel, 120 Wn. App. 12" \c 1 </w:instrText>
      </w:r>
      <w:r w:rsidR="000E57E3" w:rsidRPr="00C43543">
        <w:rPr>
          <w:szCs w:val="28"/>
          <w14:ligatures w14:val="standardContextual"/>
        </w:rPr>
        <w:fldChar w:fldCharType="end"/>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 xml:space="preserve">to conjure a proposed rule of law that the “the ‘relevant product’ is the product that failed.” But </w:t>
      </w:r>
      <w:r w:rsidRPr="00C43543">
        <w:rPr>
          <w:i/>
          <w:iCs/>
          <w:szCs w:val="28"/>
          <w14:ligatures w14:val="standardContextual"/>
        </w:rPr>
        <w:t>Sepulveda</w:t>
      </w:r>
      <w:r w:rsidRPr="00C43543">
        <w:rPr>
          <w:szCs w:val="28"/>
          <w14:ligatures w14:val="standardContextual"/>
        </w:rPr>
        <w:t xml:space="preserve"> merely held that the manufacturer and supplier of a component that is </w:t>
      </w:r>
      <w:r w:rsidRPr="00C43543">
        <w:rPr>
          <w:i/>
          <w:iCs/>
          <w:szCs w:val="28"/>
          <w14:ligatures w14:val="standardContextual"/>
        </w:rPr>
        <w:t>not</w:t>
      </w:r>
      <w:r w:rsidRPr="00C43543">
        <w:rPr>
          <w:szCs w:val="28"/>
          <w14:ligatures w14:val="standardContextual"/>
        </w:rPr>
        <w:t xml:space="preserve"> defective are not liable under the WPLA.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Simonetta</w:t>
      </w:r>
      <w:r w:rsidRPr="00C43543">
        <w:rPr>
          <w:szCs w:val="28"/>
          <w14:ligatures w14:val="standardContextual"/>
        </w:rPr>
        <w:t>, 165 Wn.2d at 352</w:t>
      </w:r>
      <w:r w:rsidR="0065197C" w:rsidRPr="00C43543">
        <w:rPr>
          <w:szCs w:val="28"/>
          <w14:ligatures w14:val="standardContextual"/>
        </w:rPr>
        <w:t>-</w:t>
      </w:r>
      <w:r w:rsidRPr="00C43543">
        <w:rPr>
          <w:szCs w:val="28"/>
          <w14:ligatures w14:val="standardContextual"/>
        </w:rPr>
        <w:t>53</w:t>
      </w:r>
      <w:r w:rsidR="000E57E3" w:rsidRPr="00C43543">
        <w:rPr>
          <w:szCs w:val="28"/>
          <w14:ligatures w14:val="standardContextual"/>
        </w:rPr>
        <w:fldChar w:fldCharType="begin"/>
      </w:r>
      <w:r w:rsidR="000E57E3" w:rsidRPr="00C43543">
        <w:rPr>
          <w:szCs w:val="28"/>
          <w14:ligatures w14:val="standardContextual"/>
        </w:rPr>
        <w:instrText xml:space="preserve"> TA \s "Simonetta v. Viad Corp., 165 Wn.2d 341" </w:instrText>
      </w:r>
      <w:r w:rsidR="000E57E3" w:rsidRPr="00C43543">
        <w:rPr>
          <w:szCs w:val="28"/>
          <w14:ligatures w14:val="standardContextual"/>
        </w:rPr>
        <w:fldChar w:fldCharType="end"/>
      </w:r>
      <w:r w:rsidRPr="00C43543">
        <w:rPr>
          <w:szCs w:val="28"/>
          <w14:ligatures w14:val="standardContextual"/>
        </w:rPr>
        <w:t xml:space="preserve"> (“We interpret </w:t>
      </w:r>
      <w:r w:rsidRPr="00C43543">
        <w:rPr>
          <w:i/>
          <w:iCs/>
          <w:szCs w:val="28"/>
          <w14:ligatures w14:val="standardContextual"/>
        </w:rPr>
        <w:t>Sepulveda</w:t>
      </w:r>
      <w:r w:rsidRPr="00C43543">
        <w:rPr>
          <w:szCs w:val="28"/>
          <w14:ligatures w14:val="standardContextual"/>
        </w:rPr>
        <w:t xml:space="preserve"> to align the WPLA with the common law limitations in that component sellers are not generally liable when the component itself is not defective.”).</w:t>
      </w:r>
    </w:p>
    <w:p w14:paraId="4CB3EF97" w14:textId="01AEAC00" w:rsidR="001C2B7C" w:rsidRPr="00C43543" w:rsidRDefault="001C2B7C" w:rsidP="005A57A8">
      <w:pPr>
        <w:pStyle w:val="BodyText"/>
        <w:rPr>
          <w:rFonts w:cs="Arial"/>
          <w:szCs w:val="28"/>
          <w14:ligatures w14:val="standardContextual"/>
        </w:rPr>
      </w:pPr>
      <w:r w:rsidRPr="00C43543">
        <w:rPr>
          <w:szCs w:val="28"/>
          <w14:ligatures w14:val="standardContextual"/>
        </w:rPr>
        <w:lastRenderedPageBreak/>
        <w:t>And any “failure” requirement would be fundamentally incompatible with the WPLA. Liability exists under the WPLA even when a product functions exactly as intended if it is “not reasonably safe” in design or lacks adequate warnings. RCW § 7.72.030(1)(a), (b)</w:t>
      </w:r>
      <w:r w:rsidR="00CE73D6" w:rsidRPr="00C43543">
        <w:rPr>
          <w:szCs w:val="28"/>
          <w14:ligatures w14:val="standardContextual"/>
        </w:rPr>
        <w:fldChar w:fldCharType="begin"/>
      </w:r>
      <w:r w:rsidR="00CE73D6" w:rsidRPr="00C43543">
        <w:rPr>
          <w:szCs w:val="28"/>
          <w14:ligatures w14:val="standardContextual"/>
        </w:rPr>
        <w:instrText xml:space="preserve"> TA \l "RCW § 7.72.030" \s "RCW § 7.72.030" \c 2 </w:instrText>
      </w:r>
      <w:r w:rsidR="00CE73D6" w:rsidRPr="00C43543">
        <w:rPr>
          <w:szCs w:val="28"/>
          <w14:ligatures w14:val="standardContextual"/>
        </w:rPr>
        <w:fldChar w:fldCharType="end"/>
      </w:r>
      <w:r w:rsidRPr="00C43543">
        <w:rPr>
          <w:szCs w:val="28"/>
          <w14:ligatures w14:val="standardContextual"/>
        </w:rPr>
        <w:t xml:space="preserve">. Defining “relevant product” to require that the product fail to perform as intended would preclude liability on these grounds, thereby immunizing the intentional sale of especially dangerous products. Case law confirms this flaw in Monsanto’s theory: In a subsequent case applying </w:t>
      </w:r>
      <w:r w:rsidRPr="00C43543">
        <w:rPr>
          <w:i/>
          <w:iCs/>
          <w:szCs w:val="28"/>
          <w14:ligatures w14:val="standardContextual"/>
        </w:rPr>
        <w:t>Sepulveda</w:t>
      </w:r>
      <w:r w:rsidRPr="00C43543">
        <w:rPr>
          <w:szCs w:val="28"/>
          <w14:ligatures w14:val="standardContextual"/>
        </w:rPr>
        <w:t>, Division Two expressly rejected the same argument that Monsanto attempts</w:t>
      </w:r>
      <w:r w:rsidR="005A57A8" w:rsidRPr="00C43543">
        <w:rPr>
          <w:szCs w:val="28"/>
          <w14:ligatures w14:val="standardContextual"/>
        </w:rPr>
        <w:t xml:space="preserve"> here</w:t>
      </w:r>
      <w:r w:rsidRPr="00C43543">
        <w:rPr>
          <w:szCs w:val="28"/>
          <w14:ligatures w14:val="standardContextual"/>
        </w:rPr>
        <w:t xml:space="preserve">, explaining that liability may attach even when the “relevant product” is “functioning as intended.”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O’Connell v. MacNeil Wash Sys. Ltd.</w:t>
      </w:r>
      <w:r w:rsidRPr="00C43543">
        <w:rPr>
          <w:szCs w:val="28"/>
          <w14:ligatures w14:val="standardContextual"/>
        </w:rPr>
        <w:t xml:space="preserve">, 2 </w:t>
      </w:r>
      <w:proofErr w:type="spellStart"/>
      <w:r w:rsidRPr="00C43543">
        <w:rPr>
          <w:szCs w:val="28"/>
          <w14:ligatures w14:val="standardContextual"/>
        </w:rPr>
        <w:t>Wn</w:t>
      </w:r>
      <w:proofErr w:type="spellEnd"/>
      <w:r w:rsidRPr="00C43543">
        <w:rPr>
          <w:szCs w:val="28"/>
          <w14:ligatures w14:val="standardContextual"/>
        </w:rPr>
        <w:t>. App. 2d 238, 248 n.3, 409 P.3d 1107 (2017)</w:t>
      </w:r>
      <w:r w:rsidR="001260B4" w:rsidRPr="00C43543">
        <w:rPr>
          <w:szCs w:val="28"/>
          <w14:ligatures w14:val="standardContextual"/>
        </w:rPr>
        <w:fldChar w:fldCharType="begin"/>
      </w:r>
      <w:r w:rsidR="001260B4" w:rsidRPr="00C43543">
        <w:rPr>
          <w:szCs w:val="28"/>
          <w14:ligatures w14:val="standardContextual"/>
        </w:rPr>
        <w:instrText xml:space="preserve"> TA \l "</w:instrText>
      </w:r>
      <w:r w:rsidR="001260B4" w:rsidRPr="00C43543">
        <w:rPr>
          <w:i/>
          <w:iCs/>
          <w:szCs w:val="28"/>
          <w14:ligatures w14:val="standardContextual"/>
        </w:rPr>
        <w:instrText>O’Connell v. MacNeil Wash System Ltd.</w:instrText>
      </w:r>
      <w:r w:rsidR="001260B4" w:rsidRPr="00C43543">
        <w:rPr>
          <w:szCs w:val="28"/>
          <w14:ligatures w14:val="standardContextual"/>
        </w:rPr>
        <w:instrText>,</w:instrText>
      </w:r>
      <w:r w:rsidR="001260B4" w:rsidRPr="00C43543">
        <w:rPr>
          <w:szCs w:val="28"/>
          <w14:ligatures w14:val="standardContextual"/>
        </w:rPr>
        <w:br/>
        <w:instrText xml:space="preserve">2 Wn. App. 2d 238, 409 P.3d 1107 (2017)" \s "O’Connell v. MacNeil, 2 Wn. App. 2d 238" \c 1 </w:instrText>
      </w:r>
      <w:r w:rsidR="001260B4" w:rsidRPr="00C43543">
        <w:rPr>
          <w:szCs w:val="28"/>
          <w14:ligatures w14:val="standardContextual"/>
        </w:rPr>
        <w:fldChar w:fldCharType="end"/>
      </w:r>
      <w:r w:rsidRPr="00C43543">
        <w:rPr>
          <w:szCs w:val="28"/>
          <w14:ligatures w14:val="standardContextual"/>
        </w:rPr>
        <w:t>.</w:t>
      </w:r>
    </w:p>
    <w:p w14:paraId="3329B741" w14:textId="024B8121" w:rsidR="005036D2" w:rsidRPr="00C43543" w:rsidRDefault="003F08B5" w:rsidP="003F08B5">
      <w:pPr>
        <w:pStyle w:val="BodyText"/>
        <w:rPr>
          <w:szCs w:val="28"/>
          <w14:ligatures w14:val="standardContextual"/>
        </w:rPr>
      </w:pPr>
      <w:r w:rsidRPr="00C43543">
        <w:rPr>
          <w:szCs w:val="28"/>
          <w14:ligatures w14:val="standardContextual"/>
        </w:rPr>
        <w:t xml:space="preserve">Notably, although Monsanto grounds its legal argument in the language of “failure,” its proposed instruction just parroted the statute: “The relevant product is the product which gave rise to the product liability claim.” </w:t>
      </w:r>
      <w:r w:rsidR="002E72D2" w:rsidRPr="00C43543">
        <w:rPr>
          <w:szCs w:val="28"/>
          <w14:ligatures w14:val="standardContextual"/>
        </w:rPr>
        <w:t>CP 15715</w:t>
      </w:r>
      <w:r w:rsidRPr="00C43543">
        <w:rPr>
          <w:szCs w:val="28"/>
          <w14:ligatures w14:val="standardContextual"/>
        </w:rPr>
        <w:t>. That is another reason to reject Monsanto’s argument. Even under that instruction, a rational jury could reach</w:t>
      </w:r>
      <w:r w:rsidR="005125C7">
        <w:rPr>
          <w:szCs w:val="28"/>
          <w14:ligatures w14:val="standardContextual"/>
        </w:rPr>
        <w:t xml:space="preserve"> only</w:t>
      </w:r>
      <w:r w:rsidRPr="00C43543">
        <w:rPr>
          <w:szCs w:val="28"/>
          <w14:ligatures w14:val="standardContextual"/>
        </w:rPr>
        <w:t xml:space="preserve"> one outcome because the “claim” here is that Monsanto’s PCBs </w:t>
      </w:r>
      <w:r w:rsidR="004830FD" w:rsidRPr="00C43543">
        <w:rPr>
          <w:szCs w:val="28"/>
          <w14:ligatures w14:val="standardContextual"/>
        </w:rPr>
        <w:t xml:space="preserve">were defective and </w:t>
      </w:r>
      <w:r w:rsidRPr="00C43543">
        <w:rPr>
          <w:szCs w:val="28"/>
          <w14:ligatures w14:val="standardContextual"/>
        </w:rPr>
        <w:t>injured the plaintiffs.</w:t>
      </w:r>
    </w:p>
    <w:p w14:paraId="1ECEE118" w14:textId="556F58F5" w:rsidR="001C2B7C" w:rsidRPr="00C43543" w:rsidRDefault="001C2B7C" w:rsidP="00FC3399">
      <w:pPr>
        <w:pStyle w:val="Heading3"/>
        <w:rPr>
          <w:rFonts w:ascii="Adobe Garamond Pro" w:hAnsi="Adobe Garamond Pro"/>
          <w14:ligatures w14:val="standardContextual"/>
        </w:rPr>
      </w:pPr>
      <w:bookmarkStart w:id="57" w:name="_Toc109728343"/>
      <w:r w:rsidRPr="00C43543">
        <w:rPr>
          <w:rFonts w:ascii="Adobe Garamond Pro" w:hAnsi="Adobe Garamond Pro"/>
          <w14:ligatures w14:val="standardContextual"/>
        </w:rPr>
        <w:lastRenderedPageBreak/>
        <w:t>The trial court correctly rejected Monsanto’s proposed “sophisticated purchaser” instruction.</w:t>
      </w:r>
      <w:bookmarkEnd w:id="57"/>
    </w:p>
    <w:p w14:paraId="019E1CD4" w14:textId="77777777" w:rsidR="001C2B7C" w:rsidRPr="00C43543" w:rsidRDefault="001C2B7C" w:rsidP="001C2B7C">
      <w:pPr>
        <w:pStyle w:val="BodyText"/>
        <w:rPr>
          <w:szCs w:val="28"/>
          <w14:ligatures w14:val="standardContextual"/>
        </w:rPr>
      </w:pPr>
      <w:r w:rsidRPr="00C43543">
        <w:rPr>
          <w:szCs w:val="28"/>
          <w14:ligatures w14:val="standardContextual"/>
        </w:rPr>
        <w:t>Over the four decades that Monsanto sold PCBs for use in consumer goods—including light ballasts and caulk—it never issued a single warning to end users about the dangers of PCBs. Nor did any of the intermediary manufacturers who incorporated the PCBs and made direct sales to the public.</w:t>
      </w:r>
    </w:p>
    <w:p w14:paraId="29C4B2F4" w14:textId="77777777" w:rsidR="001C2B7C" w:rsidRPr="00C43543" w:rsidRDefault="001C2B7C" w:rsidP="001C2B7C">
      <w:pPr>
        <w:pStyle w:val="BodyText"/>
        <w:rPr>
          <w:szCs w:val="28"/>
          <w14:ligatures w14:val="standardContextual"/>
        </w:rPr>
      </w:pPr>
      <w:r w:rsidRPr="00C43543">
        <w:rPr>
          <w:szCs w:val="28"/>
          <w14:ligatures w14:val="standardContextual"/>
        </w:rPr>
        <w:t>Nonetheless, Monsanto has sought to avoid liability for its long-running failure to warn by invoking the “sophisticated purchaser” defense. When available, this defense—also known as the “learned intermediary doctrine”—allows a manufacturer to discharge its duty to warn where the manufacturer both (a) informs an intermediary of the dangers that end users will face and (b) reasonably relies on that intermediary to convey the warning.</w:t>
      </w:r>
    </w:p>
    <w:p w14:paraId="7A120E7C" w14:textId="6C08EF76" w:rsidR="001C2B7C" w:rsidRPr="00C43543" w:rsidRDefault="001C2B7C" w:rsidP="001C2B7C">
      <w:pPr>
        <w:pStyle w:val="BodyText"/>
        <w:rPr>
          <w:szCs w:val="28"/>
          <w14:ligatures w14:val="standardContextual"/>
        </w:rPr>
      </w:pPr>
      <w:r w:rsidRPr="00C43543">
        <w:rPr>
          <w:szCs w:val="28"/>
          <w14:ligatures w14:val="standardContextual"/>
        </w:rPr>
        <w:t>Monsanto’s argument that the trial court erred in refusing to instruct on this defense faces a simple problem: The Washington Supreme Court has expressly declined to adopt the defense outside of the pharmaceutical or medical-device context. A</w:t>
      </w:r>
      <w:r w:rsidR="00617BA8" w:rsidRPr="00C43543">
        <w:rPr>
          <w:szCs w:val="28"/>
          <w14:ligatures w14:val="standardContextual"/>
        </w:rPr>
        <w:t xml:space="preserve">t any rate, </w:t>
      </w:r>
      <w:r w:rsidRPr="00C43543">
        <w:rPr>
          <w:szCs w:val="28"/>
          <w14:ligatures w14:val="standardContextual"/>
        </w:rPr>
        <w:t xml:space="preserve">the evidence at trial did not support </w:t>
      </w:r>
      <w:r w:rsidR="00F63BA4" w:rsidRPr="00C43543">
        <w:rPr>
          <w:szCs w:val="28"/>
          <w14:ligatures w14:val="standardContextual"/>
        </w:rPr>
        <w:t>such an</w:t>
      </w:r>
      <w:r w:rsidRPr="00C43543">
        <w:rPr>
          <w:szCs w:val="28"/>
          <w14:ligatures w14:val="standardContextual"/>
        </w:rPr>
        <w:t xml:space="preserve"> instruction.</w:t>
      </w:r>
    </w:p>
    <w:p w14:paraId="21C29A35" w14:textId="77777777" w:rsidR="001C2B7C" w:rsidRPr="00C43543" w:rsidRDefault="001C2B7C" w:rsidP="00FC3399">
      <w:pPr>
        <w:pStyle w:val="Heading4"/>
        <w:rPr>
          <w:rFonts w:ascii="Adobe Garamond Pro" w:hAnsi="Adobe Garamond Pro"/>
          <w14:ligatures w14:val="standardContextual"/>
        </w:rPr>
      </w:pPr>
      <w:bookmarkStart w:id="58" w:name="_Toc109728344"/>
      <w:r w:rsidRPr="00C43543">
        <w:rPr>
          <w:rFonts w:ascii="Adobe Garamond Pro" w:hAnsi="Adobe Garamond Pro"/>
          <w14:ligatures w14:val="standardContextual"/>
        </w:rPr>
        <w:lastRenderedPageBreak/>
        <w:t>The Supreme Court has expressly declined to adopt Monsanto’s sophisticated-purchaser defense.</w:t>
      </w:r>
      <w:bookmarkEnd w:id="58"/>
    </w:p>
    <w:p w14:paraId="5F57D0AC" w14:textId="67704294" w:rsidR="004830FD" w:rsidRPr="00C43543" w:rsidRDefault="004830FD" w:rsidP="004830FD">
      <w:pPr>
        <w:pStyle w:val="BodyText"/>
        <w:rPr>
          <w:szCs w:val="28"/>
          <w14:ligatures w14:val="standardContextual"/>
        </w:rPr>
      </w:pPr>
      <w:r w:rsidRPr="00C43543">
        <w:rPr>
          <w:szCs w:val="28"/>
          <w14:ligatures w14:val="standardContextual"/>
        </w:rPr>
        <w:t xml:space="preserve">Under the WPLA, a manufacturer’s “responsibility for affixing an adequate warning to its product” “generally is not delegable.” </w:t>
      </w:r>
      <w:r w:rsidRPr="00C43543">
        <w:rPr>
          <w:i/>
          <w:iCs/>
          <w:szCs w:val="28"/>
          <w14:ligatures w14:val="standardContextual"/>
        </w:rPr>
        <w:t>Campbell v. ITE Imperial Corp.</w:t>
      </w:r>
      <w:r w:rsidRPr="00C43543">
        <w:rPr>
          <w:szCs w:val="28"/>
          <w14:ligatures w14:val="standardContextual"/>
        </w:rPr>
        <w:t>, 107 Wn.2d 807, 814, 733 P.2d 969 (1987)</w:t>
      </w:r>
      <w:r w:rsidR="001260B4" w:rsidRPr="00C43543">
        <w:rPr>
          <w:szCs w:val="28"/>
          <w14:ligatures w14:val="standardContextual"/>
        </w:rPr>
        <w:fldChar w:fldCharType="begin"/>
      </w:r>
      <w:r w:rsidR="001260B4" w:rsidRPr="00C43543">
        <w:rPr>
          <w:szCs w:val="28"/>
          <w14:ligatures w14:val="standardContextual"/>
        </w:rPr>
        <w:instrText xml:space="preserve"> TA \l "</w:instrText>
      </w:r>
      <w:r w:rsidR="001260B4" w:rsidRPr="00C43543">
        <w:rPr>
          <w:i/>
          <w:iCs/>
          <w:szCs w:val="28"/>
          <w14:ligatures w14:val="standardContextual"/>
        </w:rPr>
        <w:instrText>Campbell v. ITE Imperial Corp.</w:instrText>
      </w:r>
      <w:r w:rsidR="001260B4" w:rsidRPr="00C43543">
        <w:rPr>
          <w:szCs w:val="28"/>
          <w14:ligatures w14:val="standardContextual"/>
        </w:rPr>
        <w:instrText>,</w:instrText>
      </w:r>
      <w:r w:rsidR="001260B4" w:rsidRPr="00C43543">
        <w:rPr>
          <w:szCs w:val="28"/>
          <w14:ligatures w14:val="standardContextual"/>
        </w:rPr>
        <w:br/>
        <w:instrText xml:space="preserve">107 Wn.2d 807, 733 P.2d 969 (1987)" \s "Campbell v. ITE Imperial, 107 Wn.2d 807" \c 1 </w:instrText>
      </w:r>
      <w:r w:rsidR="001260B4" w:rsidRPr="00C43543">
        <w:rPr>
          <w:szCs w:val="28"/>
          <w14:ligatures w14:val="standardContextual"/>
        </w:rPr>
        <w:fldChar w:fldCharType="end"/>
      </w:r>
      <w:r w:rsidRPr="00C43543">
        <w:rPr>
          <w:szCs w:val="28"/>
          <w14:ligatures w14:val="standardContextual"/>
        </w:rPr>
        <w:t xml:space="preserve">. In </w:t>
      </w:r>
      <w:proofErr w:type="spellStart"/>
      <w:r w:rsidRPr="00C43543">
        <w:rPr>
          <w:i/>
          <w:iCs/>
          <w:szCs w:val="28"/>
          <w14:ligatures w14:val="standardContextual"/>
        </w:rPr>
        <w:t>Rublee</w:t>
      </w:r>
      <w:proofErr w:type="spellEnd"/>
      <w:r w:rsidRPr="00C43543">
        <w:rPr>
          <w:i/>
          <w:iCs/>
          <w:szCs w:val="28"/>
          <w14:ligatures w14:val="standardContextual"/>
        </w:rPr>
        <w:t xml:space="preserve"> v. Carrier Cor</w:t>
      </w:r>
      <w:r w:rsidR="00A27683" w:rsidRPr="00C43543">
        <w:rPr>
          <w:i/>
          <w:iCs/>
          <w:szCs w:val="28"/>
          <w14:ligatures w14:val="standardContextual"/>
        </w:rPr>
        <w:t>p.</w:t>
      </w:r>
      <w:r w:rsidR="00A27683" w:rsidRPr="00C43543">
        <w:rPr>
          <w:szCs w:val="28"/>
          <w14:ligatures w14:val="standardContextual"/>
        </w:rPr>
        <w:t>,</w:t>
      </w:r>
      <w:r w:rsidRPr="00C43543">
        <w:rPr>
          <w:szCs w:val="28"/>
          <w14:ligatures w14:val="standardContextual"/>
        </w:rPr>
        <w:t xml:space="preserve"> the Supreme Court explained that this rule precludes manufacturers from delegating the responsibility to warn to “sophisticated purchasers.” 192 Wn.2d 190, 208-09, 428 P.3d 1207 (2018)</w:t>
      </w:r>
      <w:r w:rsidR="001260B4" w:rsidRPr="00C43543">
        <w:rPr>
          <w:szCs w:val="28"/>
          <w14:ligatures w14:val="standardContextual"/>
        </w:rPr>
        <w:fldChar w:fldCharType="begin"/>
      </w:r>
      <w:r w:rsidR="001260B4" w:rsidRPr="00C43543">
        <w:rPr>
          <w:szCs w:val="28"/>
          <w14:ligatures w14:val="standardContextual"/>
        </w:rPr>
        <w:instrText xml:space="preserve"> TA \l "</w:instrText>
      </w:r>
      <w:r w:rsidR="001260B4" w:rsidRPr="00C43543">
        <w:rPr>
          <w:i/>
          <w:iCs/>
          <w:szCs w:val="28"/>
          <w14:ligatures w14:val="standardContextual"/>
        </w:rPr>
        <w:instrText>Rublee v. Carrier Corp.</w:instrText>
      </w:r>
      <w:r w:rsidR="001260B4" w:rsidRPr="00C43543">
        <w:rPr>
          <w:szCs w:val="28"/>
          <w14:ligatures w14:val="standardContextual"/>
        </w:rPr>
        <w:instrText>,</w:instrText>
      </w:r>
      <w:r w:rsidR="001260B4" w:rsidRPr="00C43543">
        <w:rPr>
          <w:szCs w:val="28"/>
          <w14:ligatures w14:val="standardContextual"/>
        </w:rPr>
        <w:br/>
        <w:instrText xml:space="preserve">192 Wn.2d 190, 428 P.3d 1207 (2018)" \s "Rublee v. Carrier, 192 Wn.2d 190" \c 1 </w:instrText>
      </w:r>
      <w:r w:rsidR="001260B4" w:rsidRPr="00C43543">
        <w:rPr>
          <w:szCs w:val="28"/>
          <w14:ligatures w14:val="standardContextual"/>
        </w:rPr>
        <w:fldChar w:fldCharType="end"/>
      </w:r>
      <w:r w:rsidRPr="00C43543">
        <w:rPr>
          <w:szCs w:val="28"/>
          <w14:ligatures w14:val="standardContextual"/>
        </w:rPr>
        <w:t>.</w:t>
      </w:r>
      <w:r w:rsidRPr="00C43543">
        <w:rPr>
          <w:b/>
          <w:bCs/>
          <w:szCs w:val="28"/>
          <w14:ligatures w14:val="standardContextual"/>
        </w:rPr>
        <w:t xml:space="preserve"> </w:t>
      </w:r>
      <w:r w:rsidRPr="00C43543">
        <w:rPr>
          <w:szCs w:val="28"/>
          <w14:ligatures w14:val="standardContextual"/>
        </w:rPr>
        <w:t xml:space="preserve">The “only scenario” in which there is an exception is the pharmaceutical and medical-device context, </w:t>
      </w:r>
      <w:r w:rsidR="00A27683" w:rsidRPr="00C43543">
        <w:rPr>
          <w:szCs w:val="28"/>
          <w14:ligatures w14:val="standardContextual"/>
        </w:rPr>
        <w:t>where</w:t>
      </w:r>
      <w:r w:rsidRPr="00C43543">
        <w:rPr>
          <w:szCs w:val="28"/>
          <w14:ligatures w14:val="standardContextual"/>
        </w:rPr>
        <w:t xml:space="preserve"> a manufacturer can “</w:t>
      </w:r>
      <w:proofErr w:type="gramStart"/>
      <w:r w:rsidRPr="00C43543">
        <w:rPr>
          <w:szCs w:val="28"/>
          <w14:ligatures w14:val="standardContextual"/>
        </w:rPr>
        <w:t>fulfill[</w:t>
      </w:r>
      <w:proofErr w:type="gramEnd"/>
      <w:r w:rsidRPr="00C43543">
        <w:rPr>
          <w:szCs w:val="28"/>
          <w14:ligatures w14:val="standardContextual"/>
        </w:rPr>
        <w:t xml:space="preserve">] its duty to warn when it gives adequate warning to the physician who must prescribe the product.” </w:t>
      </w:r>
      <w:r w:rsidRPr="00C43543">
        <w:rPr>
          <w:i/>
          <w:iCs/>
          <w:szCs w:val="28"/>
          <w14:ligatures w14:val="standardContextual"/>
        </w:rPr>
        <w:t>Id.</w:t>
      </w:r>
      <w:r w:rsidR="001260B4" w:rsidRPr="00C43543">
        <w:rPr>
          <w:i/>
          <w:iCs/>
          <w:szCs w:val="28"/>
          <w14:ligatures w14:val="standardContextual"/>
        </w:rPr>
        <w:fldChar w:fldCharType="begin"/>
      </w:r>
      <w:r w:rsidR="001260B4" w:rsidRPr="00C43543">
        <w:rPr>
          <w:szCs w:val="28"/>
          <w14:ligatures w14:val="standardContextual"/>
        </w:rPr>
        <w:instrText xml:space="preserve"> TA \s "Rublee v. Carrier, 192 Wn.2d 190" </w:instrText>
      </w:r>
      <w:r w:rsidR="001260B4" w:rsidRPr="00C43543">
        <w:rPr>
          <w:i/>
          <w:iCs/>
          <w:szCs w:val="28"/>
          <w14:ligatures w14:val="standardContextual"/>
        </w:rPr>
        <w:fldChar w:fldCharType="end"/>
      </w:r>
      <w:r w:rsidRPr="00C43543">
        <w:rPr>
          <w:szCs w:val="28"/>
          <w14:ligatures w14:val="standardContextual"/>
        </w:rPr>
        <w:t xml:space="preserve"> But that carve-out exists “for public policy reasons focused on preserving the physician-patient relationship, and it is considered sui generis.” </w:t>
      </w:r>
      <w:r w:rsidRPr="00C43543">
        <w:rPr>
          <w:i/>
          <w:iCs/>
          <w:szCs w:val="28"/>
          <w14:ligatures w14:val="standardContextual"/>
        </w:rPr>
        <w:t>Id.</w:t>
      </w:r>
      <w:r w:rsidRPr="00C43543">
        <w:rPr>
          <w:szCs w:val="28"/>
          <w14:ligatures w14:val="standardContextual"/>
        </w:rPr>
        <w:t xml:space="preserve"> at 209</w:t>
      </w:r>
      <w:r w:rsidR="001260B4" w:rsidRPr="00C43543">
        <w:rPr>
          <w:szCs w:val="28"/>
          <w14:ligatures w14:val="standardContextual"/>
        </w:rPr>
        <w:fldChar w:fldCharType="begin"/>
      </w:r>
      <w:r w:rsidR="001260B4" w:rsidRPr="00C43543">
        <w:rPr>
          <w:szCs w:val="28"/>
          <w14:ligatures w14:val="standardContextual"/>
        </w:rPr>
        <w:instrText xml:space="preserve"> TA \s "Rublee v. Carrier, 192 Wn.2d 190" </w:instrText>
      </w:r>
      <w:r w:rsidR="001260B4" w:rsidRPr="00C43543">
        <w:rPr>
          <w:szCs w:val="28"/>
          <w14:ligatures w14:val="standardContextual"/>
        </w:rPr>
        <w:fldChar w:fldCharType="end"/>
      </w:r>
      <w:r w:rsidRPr="00C43543">
        <w:rPr>
          <w:szCs w:val="28"/>
          <w14:ligatures w14:val="standardContextual"/>
        </w:rPr>
        <w:t xml:space="preserve">. Thus, the Supreme Court has “expressly declined to adopt the learned intermediary doctrine in other contexts.” </w:t>
      </w:r>
      <w:r w:rsidRPr="00C43543">
        <w:rPr>
          <w:i/>
          <w:iCs/>
          <w:szCs w:val="28"/>
          <w14:ligatures w14:val="standardContextual"/>
        </w:rPr>
        <w:t>Id</w:t>
      </w:r>
      <w:r w:rsidRPr="00C43543">
        <w:rPr>
          <w:szCs w:val="28"/>
          <w14:ligatures w14:val="standardContextual"/>
        </w:rPr>
        <w:t>.;</w:t>
      </w:r>
      <w:r w:rsidR="001260B4" w:rsidRPr="00C43543">
        <w:rPr>
          <w:szCs w:val="28"/>
          <w14:ligatures w14:val="standardContextual"/>
        </w:rPr>
        <w:fldChar w:fldCharType="begin"/>
      </w:r>
      <w:r w:rsidR="001260B4" w:rsidRPr="00C43543">
        <w:rPr>
          <w:szCs w:val="28"/>
          <w14:ligatures w14:val="standardContextual"/>
        </w:rPr>
        <w:instrText xml:space="preserve"> TA \s "Rublee v. Carrier, 192 Wn.2d 190" </w:instrText>
      </w:r>
      <w:r w:rsidR="001260B4"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 e.g.</w:t>
      </w:r>
      <w:r w:rsidRPr="00C43543">
        <w:rPr>
          <w:szCs w:val="28"/>
          <w14:ligatures w14:val="standardContextual"/>
        </w:rPr>
        <w:t xml:space="preserve">, </w:t>
      </w:r>
      <w:r w:rsidRPr="00C43543">
        <w:rPr>
          <w:i/>
          <w:iCs/>
          <w:szCs w:val="28"/>
          <w14:ligatures w14:val="standardContextual"/>
        </w:rPr>
        <w:t xml:space="preserve">Nye v. Bayer </w:t>
      </w:r>
      <w:proofErr w:type="spellStart"/>
      <w:r w:rsidRPr="00C43543">
        <w:rPr>
          <w:i/>
          <w:iCs/>
          <w:szCs w:val="28"/>
          <w14:ligatures w14:val="standardContextual"/>
        </w:rPr>
        <w:t>Cropscience</w:t>
      </w:r>
      <w:proofErr w:type="spellEnd"/>
      <w:r w:rsidRPr="00C43543">
        <w:rPr>
          <w:i/>
          <w:iCs/>
          <w:szCs w:val="28"/>
          <w14:ligatures w14:val="standardContextual"/>
        </w:rPr>
        <w:t>, Inc.</w:t>
      </w:r>
      <w:r w:rsidRPr="00C43543">
        <w:rPr>
          <w:szCs w:val="28"/>
          <w14:ligatures w14:val="standardContextual"/>
        </w:rPr>
        <w:t>, 347 S.W.3d 686, 704 (Tenn. 2011)</w:t>
      </w:r>
      <w:r w:rsidR="001260B4" w:rsidRPr="00C43543">
        <w:rPr>
          <w:szCs w:val="28"/>
          <w14:ligatures w14:val="standardContextual"/>
        </w:rPr>
        <w:fldChar w:fldCharType="begin"/>
      </w:r>
      <w:r w:rsidR="001260B4" w:rsidRPr="00C43543">
        <w:rPr>
          <w:szCs w:val="28"/>
          <w14:ligatures w14:val="standardContextual"/>
        </w:rPr>
        <w:instrText xml:space="preserve"> TA \l "</w:instrText>
      </w:r>
      <w:r w:rsidR="001260B4" w:rsidRPr="00C43543">
        <w:rPr>
          <w:i/>
          <w:iCs/>
          <w:szCs w:val="28"/>
          <w14:ligatures w14:val="standardContextual"/>
        </w:rPr>
        <w:instrText>Nye v. Bayer Cropscience, Inc.</w:instrText>
      </w:r>
      <w:r w:rsidR="001260B4" w:rsidRPr="00C43543">
        <w:rPr>
          <w:szCs w:val="28"/>
          <w14:ligatures w14:val="standardContextual"/>
        </w:rPr>
        <w:instrText>,</w:instrText>
      </w:r>
      <w:r w:rsidR="001260B4" w:rsidRPr="00C43543">
        <w:rPr>
          <w:szCs w:val="28"/>
          <w14:ligatures w14:val="standardContextual"/>
        </w:rPr>
        <w:br/>
        <w:instrText xml:space="preserve">347 S.W.3d 686 (Tenn. 2011)" \s "Nye v. Bayer Cropscience, 347 S.W.3d 686" \c 1 </w:instrText>
      </w:r>
      <w:r w:rsidR="001260B4" w:rsidRPr="00C43543">
        <w:rPr>
          <w:szCs w:val="28"/>
          <w14:ligatures w14:val="standardContextual"/>
        </w:rPr>
        <w:fldChar w:fldCharType="end"/>
      </w:r>
      <w:r w:rsidRPr="00C43543">
        <w:rPr>
          <w:szCs w:val="28"/>
          <w14:ligatures w14:val="standardContextual"/>
        </w:rPr>
        <w:t xml:space="preserve"> (rejecting sophisticated-purchaser doctrine for highly toxic products outside the pharmaceutical context </w:t>
      </w:r>
      <w:r w:rsidRPr="00C43543">
        <w:rPr>
          <w:szCs w:val="28"/>
          <w14:ligatures w14:val="standardContextual"/>
        </w:rPr>
        <w:lastRenderedPageBreak/>
        <w:t>because the underlying policy considerations—including a doctor’s obligation to prioritize patient health—are absent).</w:t>
      </w:r>
    </w:p>
    <w:p w14:paraId="68DFA19A" w14:textId="498955E9" w:rsidR="001C2B7C" w:rsidRPr="00C43543" w:rsidRDefault="001C2B7C" w:rsidP="004830FD">
      <w:pPr>
        <w:pStyle w:val="BodyText"/>
        <w:rPr>
          <w:szCs w:val="28"/>
          <w14:ligatures w14:val="standardContextual"/>
        </w:rPr>
      </w:pPr>
      <w:r w:rsidRPr="00C43543">
        <w:rPr>
          <w:szCs w:val="28"/>
          <w14:ligatures w14:val="standardContextual"/>
        </w:rPr>
        <w:t xml:space="preserve">Faced with the Supreme Court’s repudiation of its theory, Monsanto attempts to brush </w:t>
      </w:r>
      <w:proofErr w:type="spellStart"/>
      <w:r w:rsidRPr="00C43543">
        <w:rPr>
          <w:i/>
          <w:iCs/>
          <w:szCs w:val="28"/>
          <w14:ligatures w14:val="standardContextual"/>
        </w:rPr>
        <w:t>Rublee</w:t>
      </w:r>
      <w:proofErr w:type="spellEnd"/>
      <w:r w:rsidRPr="00C43543">
        <w:rPr>
          <w:szCs w:val="28"/>
          <w14:ligatures w14:val="standardContextual"/>
        </w:rPr>
        <w:t xml:space="preserve"> aside as a case about the apparent-manufacturer doctrine. But </w:t>
      </w:r>
      <w:proofErr w:type="spellStart"/>
      <w:r w:rsidRPr="00C43543">
        <w:rPr>
          <w:i/>
          <w:iCs/>
          <w:szCs w:val="28"/>
          <w14:ligatures w14:val="standardContextual"/>
        </w:rPr>
        <w:t>Rublee</w:t>
      </w:r>
      <w:proofErr w:type="spellEnd"/>
      <w:r w:rsidRPr="00C43543">
        <w:rPr>
          <w:szCs w:val="28"/>
          <w14:ligatures w14:val="standardContextual"/>
        </w:rPr>
        <w:t xml:space="preserve"> expressly rejected the proposition that an intermediary’s sophistication precludes liability under the apparent-manufacturer doctrine because such a rule would be “inconsistent” with Washington product-liability law more broadly. </w:t>
      </w:r>
      <w:proofErr w:type="spellStart"/>
      <w:r w:rsidRPr="00C43543">
        <w:rPr>
          <w:i/>
          <w:iCs/>
          <w:szCs w:val="28"/>
          <w14:ligatures w14:val="standardContextual"/>
        </w:rPr>
        <w:t>Rublee</w:t>
      </w:r>
      <w:proofErr w:type="spellEnd"/>
      <w:r w:rsidRPr="00C43543">
        <w:rPr>
          <w:i/>
          <w:iCs/>
          <w:szCs w:val="28"/>
          <w14:ligatures w14:val="standardContextual"/>
        </w:rPr>
        <w:t xml:space="preserve">, </w:t>
      </w:r>
      <w:r w:rsidRPr="00C43543">
        <w:rPr>
          <w:szCs w:val="28"/>
          <w14:ligatures w14:val="standardContextual"/>
        </w:rPr>
        <w:t>192 Wn.2d at 207-08</w:t>
      </w:r>
      <w:r w:rsidR="008649C1" w:rsidRPr="00C43543">
        <w:rPr>
          <w:szCs w:val="28"/>
          <w14:ligatures w14:val="standardContextual"/>
        </w:rPr>
        <w:fldChar w:fldCharType="begin"/>
      </w:r>
      <w:r w:rsidR="008649C1" w:rsidRPr="00C43543">
        <w:rPr>
          <w:szCs w:val="28"/>
          <w14:ligatures w14:val="standardContextual"/>
        </w:rPr>
        <w:instrText xml:space="preserve"> TA \s "Rublee v. Carrier, 192 Wn.2d 190" </w:instrText>
      </w:r>
      <w:r w:rsidR="008649C1" w:rsidRPr="00C43543">
        <w:rPr>
          <w:szCs w:val="28"/>
          <w14:ligatures w14:val="standardContextual"/>
        </w:rPr>
        <w:fldChar w:fldCharType="end"/>
      </w:r>
      <w:r w:rsidRPr="00C43543">
        <w:rPr>
          <w:szCs w:val="28"/>
          <w14:ligatures w14:val="standardContextual"/>
        </w:rPr>
        <w:t>. To illustrate that conflict—and to harmonize Washington’s treatment of the apparent-manufacturer doctrine with other product-liability principles—the court rejected the sophisticated-purchaser defense that Monsanto grasps for here.</w:t>
      </w:r>
      <w:r w:rsidRPr="00C43543">
        <w:rPr>
          <w:rStyle w:val="FootnoteReference"/>
          <w:rFonts w:cs="Arial"/>
          <w:szCs w:val="28"/>
          <w14:ligatures w14:val="standardContextual"/>
        </w:rPr>
        <w:footnoteReference w:id="15"/>
      </w:r>
    </w:p>
    <w:p w14:paraId="664775B9" w14:textId="77777777" w:rsidR="001C2B7C" w:rsidRPr="00C43543" w:rsidRDefault="001C2B7C" w:rsidP="00FC3399">
      <w:pPr>
        <w:pStyle w:val="Heading4"/>
        <w:rPr>
          <w:rFonts w:ascii="Adobe Garamond Pro" w:hAnsi="Adobe Garamond Pro"/>
          <w14:ligatures w14:val="standardContextual"/>
        </w:rPr>
      </w:pPr>
      <w:bookmarkStart w:id="59" w:name="_Toc109728345"/>
      <w:r w:rsidRPr="00C43543">
        <w:rPr>
          <w:rFonts w:ascii="Adobe Garamond Pro" w:hAnsi="Adobe Garamond Pro"/>
          <w14:ligatures w14:val="standardContextual"/>
        </w:rPr>
        <w:lastRenderedPageBreak/>
        <w:t>Monsanto presented no evidence that it warned the relevant ballast or caulk sellers of PCBs’ dangers or that it reasonably relied on them to warn end users.</w:t>
      </w:r>
      <w:bookmarkEnd w:id="59"/>
    </w:p>
    <w:p w14:paraId="5E7C1FCF" w14:textId="58B70ECA" w:rsidR="001C2B7C" w:rsidRPr="00C43543" w:rsidRDefault="001C2B7C" w:rsidP="001C2B7C">
      <w:pPr>
        <w:pStyle w:val="BodyText"/>
        <w:rPr>
          <w:i/>
          <w:iCs/>
          <w:szCs w:val="28"/>
          <w14:ligatures w14:val="standardContextual"/>
        </w:rPr>
      </w:pPr>
      <w:r w:rsidRPr="00C43543">
        <w:rPr>
          <w:szCs w:val="28"/>
          <w14:ligatures w14:val="standardContextual"/>
        </w:rPr>
        <w:t xml:space="preserve">Even if Washington law permitted the sophisticated-purchaser defense as a general matter, the trial court didn’t abuse its discretion in refusing to give the proposed instruction. </w:t>
      </w:r>
      <w:r w:rsidRPr="00C43543">
        <w:rPr>
          <w:i/>
          <w:iCs/>
          <w:szCs w:val="28"/>
          <w14:ligatures w14:val="standardContextual"/>
        </w:rPr>
        <w:t>See State v. Picard</w:t>
      </w:r>
      <w:r w:rsidRPr="00C43543">
        <w:rPr>
          <w:szCs w:val="28"/>
          <w14:ligatures w14:val="standardContextual"/>
        </w:rPr>
        <w:t xml:space="preserve">, 90 </w:t>
      </w:r>
      <w:proofErr w:type="spellStart"/>
      <w:r w:rsidRPr="00C43543">
        <w:rPr>
          <w:szCs w:val="28"/>
          <w14:ligatures w14:val="standardContextual"/>
        </w:rPr>
        <w:t>Wn</w:t>
      </w:r>
      <w:proofErr w:type="spellEnd"/>
      <w:r w:rsidRPr="00C43543">
        <w:rPr>
          <w:szCs w:val="28"/>
          <w14:ligatures w14:val="standardContextual"/>
        </w:rPr>
        <w:t>. App. 890, 902, 954 P.2d 336 (1998)</w:t>
      </w:r>
      <w:r w:rsidR="00F42B4B" w:rsidRPr="00C43543">
        <w:rPr>
          <w:szCs w:val="28"/>
          <w14:ligatures w14:val="standardContextual"/>
        </w:rPr>
        <w:fldChar w:fldCharType="begin"/>
      </w:r>
      <w:r w:rsidR="00F42B4B" w:rsidRPr="00C43543">
        <w:rPr>
          <w:szCs w:val="28"/>
          <w14:ligatures w14:val="standardContextual"/>
        </w:rPr>
        <w:instrText xml:space="preserve"> TA \l "</w:instrText>
      </w:r>
      <w:r w:rsidR="00F42B4B" w:rsidRPr="00C43543">
        <w:rPr>
          <w:i/>
          <w:iCs/>
          <w:szCs w:val="28"/>
          <w14:ligatures w14:val="standardContextual"/>
        </w:rPr>
        <w:instrText>State v. Picard</w:instrText>
      </w:r>
      <w:r w:rsidR="00F42B4B" w:rsidRPr="00C43543">
        <w:rPr>
          <w:szCs w:val="28"/>
          <w14:ligatures w14:val="standardContextual"/>
        </w:rPr>
        <w:instrText>,</w:instrText>
      </w:r>
      <w:r w:rsidR="00F42B4B" w:rsidRPr="00C43543">
        <w:rPr>
          <w:szCs w:val="28"/>
          <w14:ligatures w14:val="standardContextual"/>
        </w:rPr>
        <w:br/>
        <w:instrText xml:space="preserve">90 Wn. App. 890, 954 P.2d 336 (1998)" \s "State v. Picard, 90 Wn. App. 890" \c 1 </w:instrText>
      </w:r>
      <w:r w:rsidR="00F42B4B" w:rsidRPr="00C43543">
        <w:rPr>
          <w:szCs w:val="28"/>
          <w14:ligatures w14:val="standardContextual"/>
        </w:rPr>
        <w:fldChar w:fldCharType="end"/>
      </w:r>
      <w:r w:rsidRPr="00C43543">
        <w:rPr>
          <w:szCs w:val="28"/>
          <w14:ligatures w14:val="standardContextual"/>
        </w:rPr>
        <w:t xml:space="preserve"> (refusal to give instruction is reviewed for abuse of discretion)</w:t>
      </w:r>
      <w:r w:rsidRPr="00C43543">
        <w:rPr>
          <w:i/>
          <w:iCs/>
          <w:szCs w:val="28"/>
          <w14:ligatures w14:val="standardContextual"/>
        </w:rPr>
        <w:t xml:space="preserve">. </w:t>
      </w:r>
      <w:r w:rsidRPr="00C43543">
        <w:rPr>
          <w:szCs w:val="28"/>
          <w14:ligatures w14:val="standardContextual"/>
        </w:rPr>
        <w:t xml:space="preserve">If available, the defense applies “only where the manufacturer has supplied to the employer all the information necessary to make its product safe for use by the end user and has ‘reasonable assurance that the information will reach those whose safety depends upon their having it.’” </w:t>
      </w:r>
      <w:proofErr w:type="spellStart"/>
      <w:r w:rsidRPr="00C43543">
        <w:rPr>
          <w:i/>
          <w:iCs/>
          <w:szCs w:val="28"/>
          <w14:ligatures w14:val="standardContextual"/>
        </w:rPr>
        <w:t>Mikelsen</w:t>
      </w:r>
      <w:proofErr w:type="spellEnd"/>
      <w:r w:rsidRPr="00C43543">
        <w:rPr>
          <w:i/>
          <w:iCs/>
          <w:szCs w:val="28"/>
          <w14:ligatures w14:val="standardContextual"/>
        </w:rPr>
        <w:t xml:space="preserve"> v. Air &amp; Liquid Sys. Corp.</w:t>
      </w:r>
      <w:r w:rsidRPr="00C43543">
        <w:rPr>
          <w:szCs w:val="28"/>
          <w14:ligatures w14:val="standardContextual"/>
        </w:rPr>
        <w:t>, 2018 WL 4899305, at *3 (W.D. Wash. Oct. 9, 2018)</w:t>
      </w:r>
      <w:r w:rsidR="004265A8" w:rsidRPr="00C43543">
        <w:rPr>
          <w:szCs w:val="28"/>
          <w14:ligatures w14:val="standardContextual"/>
        </w:rPr>
        <w:fldChar w:fldCharType="begin"/>
      </w:r>
      <w:r w:rsidR="004265A8" w:rsidRPr="00C43543">
        <w:rPr>
          <w:szCs w:val="28"/>
          <w14:ligatures w14:val="standardContextual"/>
        </w:rPr>
        <w:instrText xml:space="preserve"> TA \l "</w:instrText>
      </w:r>
      <w:r w:rsidR="004265A8" w:rsidRPr="00C43543">
        <w:rPr>
          <w:i/>
          <w:iCs/>
          <w:szCs w:val="28"/>
          <w14:ligatures w14:val="standardContextual"/>
        </w:rPr>
        <w:instrText>Mikelsen v. Air &amp; Liquid Systems Corp.</w:instrText>
      </w:r>
      <w:r w:rsidR="004265A8" w:rsidRPr="00C43543">
        <w:rPr>
          <w:szCs w:val="28"/>
          <w14:ligatures w14:val="standardContextual"/>
        </w:rPr>
        <w:instrText>,</w:instrText>
      </w:r>
      <w:r w:rsidR="004265A8" w:rsidRPr="00C43543">
        <w:rPr>
          <w:szCs w:val="28"/>
          <w14:ligatures w14:val="standardContextual"/>
        </w:rPr>
        <w:br/>
        <w:instrText xml:space="preserve">2018 WL 4899305 (W.D. Wash. Oct. 9, 2018)" \s "Mikelsen v. Air &amp; Liquid, 2018 WL 4899305" \c 1 </w:instrText>
      </w:r>
      <w:r w:rsidR="004265A8" w:rsidRPr="00C43543">
        <w:rPr>
          <w:szCs w:val="28"/>
          <w14:ligatures w14:val="standardContextual"/>
        </w:rPr>
        <w:fldChar w:fldCharType="end"/>
      </w:r>
      <w:r w:rsidRPr="00C43543">
        <w:rPr>
          <w:szCs w:val="28"/>
          <w14:ligatures w14:val="standardContextual"/>
        </w:rPr>
        <w:t xml:space="preserve"> (quoting Restatement (Second) of Torts § 388</w:t>
      </w:r>
      <w:r w:rsidR="004265A8" w:rsidRPr="00C43543">
        <w:rPr>
          <w:szCs w:val="28"/>
          <w14:ligatures w14:val="standardContextual"/>
        </w:rPr>
        <w:fldChar w:fldCharType="begin"/>
      </w:r>
      <w:r w:rsidR="004265A8" w:rsidRPr="00C43543">
        <w:rPr>
          <w:szCs w:val="28"/>
          <w14:ligatures w14:val="standardContextual"/>
        </w:rPr>
        <w:instrText xml:space="preserve"> TA \l "Restatement (Second) of Torts, § 388" \s "Restatement (Second) of Torts, § 388" \c 3 </w:instrText>
      </w:r>
      <w:r w:rsidR="004265A8" w:rsidRPr="00C43543">
        <w:rPr>
          <w:szCs w:val="28"/>
          <w14:ligatures w14:val="standardContextual"/>
        </w:rPr>
        <w:fldChar w:fldCharType="end"/>
      </w:r>
      <w:r w:rsidRPr="00C43543">
        <w:rPr>
          <w:szCs w:val="28"/>
          <w14:ligatures w14:val="standardContextual"/>
        </w:rPr>
        <w:t>)</w:t>
      </w:r>
      <w:r w:rsidRPr="00C43543">
        <w:rPr>
          <w:i/>
          <w:iCs/>
          <w:szCs w:val="28"/>
          <w14:ligatures w14:val="standardContextual"/>
        </w:rPr>
        <w:t>.</w:t>
      </w:r>
    </w:p>
    <w:p w14:paraId="5ADD2DBA" w14:textId="62F6E2EE" w:rsidR="001C2B7C" w:rsidRPr="00C43543" w:rsidRDefault="001C2B7C" w:rsidP="001C2B7C">
      <w:pPr>
        <w:pStyle w:val="BodyText"/>
        <w:rPr>
          <w:szCs w:val="28"/>
          <w14:ligatures w14:val="standardContextual"/>
        </w:rPr>
      </w:pPr>
      <w:r w:rsidRPr="00C43543">
        <w:rPr>
          <w:szCs w:val="28"/>
          <w14:ligatures w14:val="standardContextual"/>
        </w:rPr>
        <w:t xml:space="preserve">But a party is only entitled to an instruction when the evidence could support a rational jury returning a verdict in its favor. </w:t>
      </w:r>
      <w:r w:rsidRPr="00C43543">
        <w:rPr>
          <w:i/>
          <w:iCs/>
          <w:szCs w:val="28"/>
          <w14:ligatures w14:val="standardContextual"/>
        </w:rPr>
        <w:t>See, e.g., State v. Barker</w:t>
      </w:r>
      <w:r w:rsidRPr="00C43543">
        <w:rPr>
          <w:szCs w:val="28"/>
          <w14:ligatures w14:val="standardContextual"/>
        </w:rPr>
        <w:t xml:space="preserve">, 103 </w:t>
      </w:r>
      <w:proofErr w:type="spellStart"/>
      <w:r w:rsidRPr="00C43543">
        <w:rPr>
          <w:szCs w:val="28"/>
          <w14:ligatures w14:val="standardContextual"/>
        </w:rPr>
        <w:t>Wn</w:t>
      </w:r>
      <w:proofErr w:type="spellEnd"/>
      <w:r w:rsidRPr="00C43543">
        <w:rPr>
          <w:szCs w:val="28"/>
          <w14:ligatures w14:val="standardContextual"/>
        </w:rPr>
        <w:t>. App. 893, 899, 14 P.3d 863 (2000)</w:t>
      </w:r>
      <w:r w:rsidR="004265A8" w:rsidRPr="00C43543">
        <w:rPr>
          <w:szCs w:val="28"/>
          <w14:ligatures w14:val="standardContextual"/>
        </w:rPr>
        <w:fldChar w:fldCharType="begin"/>
      </w:r>
      <w:r w:rsidR="004265A8" w:rsidRPr="00C43543">
        <w:rPr>
          <w:szCs w:val="28"/>
          <w14:ligatures w14:val="standardContextual"/>
        </w:rPr>
        <w:instrText xml:space="preserve"> TA \l "</w:instrText>
      </w:r>
      <w:r w:rsidR="004265A8" w:rsidRPr="00C43543">
        <w:rPr>
          <w:i/>
          <w:iCs/>
          <w:szCs w:val="28"/>
          <w14:ligatures w14:val="standardContextual"/>
        </w:rPr>
        <w:instrText>State v. Barker</w:instrText>
      </w:r>
      <w:r w:rsidR="004265A8" w:rsidRPr="00C43543">
        <w:rPr>
          <w:szCs w:val="28"/>
          <w14:ligatures w14:val="standardContextual"/>
        </w:rPr>
        <w:instrText>,</w:instrText>
      </w:r>
      <w:r w:rsidR="004265A8" w:rsidRPr="00C43543">
        <w:rPr>
          <w:szCs w:val="28"/>
          <w14:ligatures w14:val="standardContextual"/>
        </w:rPr>
        <w:br/>
        <w:instrText xml:space="preserve">103 Wn. App. 893, 14 P.3d 863 (2000)" \s "State v. Barker, 103 Wn. App. 893" \c 1 </w:instrText>
      </w:r>
      <w:r w:rsidR="004265A8" w:rsidRPr="00C43543">
        <w:rPr>
          <w:szCs w:val="28"/>
          <w14:ligatures w14:val="standardContextual"/>
        </w:rPr>
        <w:fldChar w:fldCharType="end"/>
      </w:r>
      <w:r w:rsidRPr="00C43543">
        <w:rPr>
          <w:szCs w:val="28"/>
          <w14:ligatures w14:val="standardContextual"/>
        </w:rPr>
        <w:t>. Because this is an affirmative defense,</w:t>
      </w:r>
      <w:r w:rsidR="00994211" w:rsidRPr="00C43543">
        <w:rPr>
          <w:szCs w:val="28"/>
          <w14:ligatures w14:val="standardContextual"/>
        </w:rPr>
        <w:t xml:space="preserve"> </w:t>
      </w:r>
      <w:r w:rsidR="00000FA6" w:rsidRPr="00C43543">
        <w:rPr>
          <w:szCs w:val="28"/>
          <w14:ligatures w14:val="standardContextual"/>
        </w:rPr>
        <w:t>CP 15730,</w:t>
      </w:r>
      <w:r w:rsidRPr="00C43543">
        <w:rPr>
          <w:szCs w:val="28"/>
          <w14:ligatures w14:val="standardContextual"/>
        </w:rPr>
        <w:t xml:space="preserve"> it was Monsanto’s burden to present evidence warranting an instruction</w:t>
      </w:r>
      <w:r w:rsidR="005125C7">
        <w:rPr>
          <w:szCs w:val="28"/>
          <w14:ligatures w14:val="standardContextual"/>
        </w:rPr>
        <w:t>,</w:t>
      </w:r>
      <w:r w:rsidRPr="00C43543">
        <w:rPr>
          <w:szCs w:val="28"/>
          <w14:ligatures w14:val="standardContextual"/>
        </w:rPr>
        <w:t xml:space="preserve"> </w:t>
      </w:r>
      <w:r w:rsidRPr="00C43543">
        <w:rPr>
          <w:i/>
          <w:iCs/>
          <w:szCs w:val="28"/>
          <w14:ligatures w14:val="standardContextual"/>
        </w:rPr>
        <w:lastRenderedPageBreak/>
        <w:t>State v. Arbogast</w:t>
      </w:r>
      <w:r w:rsidRPr="00C43543">
        <w:rPr>
          <w:szCs w:val="28"/>
          <w14:ligatures w14:val="standardContextual"/>
        </w:rPr>
        <w:t>, 199 Wn.2d 356, 371, 506 P.3d 1238 (2022)</w:t>
      </w:r>
      <w:r w:rsidR="00DF3B9E" w:rsidRPr="00C43543">
        <w:rPr>
          <w:szCs w:val="28"/>
          <w14:ligatures w14:val="standardContextual"/>
        </w:rPr>
        <w:fldChar w:fldCharType="begin"/>
      </w:r>
      <w:r w:rsidR="00DF3B9E" w:rsidRPr="00C43543">
        <w:rPr>
          <w:szCs w:val="28"/>
          <w14:ligatures w14:val="standardContextual"/>
        </w:rPr>
        <w:instrText xml:space="preserve"> TA \l "</w:instrText>
      </w:r>
      <w:r w:rsidR="00DF3B9E" w:rsidRPr="00C43543">
        <w:rPr>
          <w:i/>
          <w:iCs/>
          <w:szCs w:val="28"/>
          <w14:ligatures w14:val="standardContextual"/>
        </w:rPr>
        <w:instrText>State v. Arbogast</w:instrText>
      </w:r>
      <w:r w:rsidR="00DF3B9E" w:rsidRPr="00C43543">
        <w:rPr>
          <w:szCs w:val="28"/>
          <w14:ligatures w14:val="standardContextual"/>
        </w:rPr>
        <w:instrText>,</w:instrText>
      </w:r>
      <w:r w:rsidR="00DF3B9E" w:rsidRPr="00C43543">
        <w:rPr>
          <w:szCs w:val="28"/>
          <w14:ligatures w14:val="standardContextual"/>
        </w:rPr>
        <w:br/>
        <w:instrText xml:space="preserve">199 Wn.2d 356, 506 P.3d 1238 (2022)" \s "State v. Arbogast, 199 Wn.2d 356" \c 1 </w:instrText>
      </w:r>
      <w:r w:rsidR="00DF3B9E" w:rsidRPr="00C43543">
        <w:rPr>
          <w:szCs w:val="28"/>
          <w14:ligatures w14:val="standardContextual"/>
        </w:rPr>
        <w:fldChar w:fldCharType="end"/>
      </w:r>
      <w:r w:rsidRPr="00C43543">
        <w:rPr>
          <w:szCs w:val="28"/>
          <w14:ligatures w14:val="standardContextual"/>
        </w:rPr>
        <w:t>. Monsanto failed to do so for three independently sufficient reason</w:t>
      </w:r>
      <w:r w:rsidR="00D75B64" w:rsidRPr="00C43543">
        <w:rPr>
          <w:szCs w:val="28"/>
          <w14:ligatures w14:val="standardContextual"/>
        </w:rPr>
        <w:t>s</w:t>
      </w:r>
      <w:r w:rsidRPr="00C43543">
        <w:rPr>
          <w:szCs w:val="28"/>
          <w14:ligatures w14:val="standardContextual"/>
        </w:rPr>
        <w:t xml:space="preserve">. </w:t>
      </w:r>
    </w:p>
    <w:p w14:paraId="72301721" w14:textId="42C915D7" w:rsidR="001C2B7C" w:rsidRPr="00C43543" w:rsidRDefault="001C2B7C" w:rsidP="00A27683">
      <w:pPr>
        <w:pStyle w:val="BodyText"/>
        <w:rPr>
          <w:szCs w:val="28"/>
          <w14:ligatures w14:val="standardContextual"/>
        </w:rPr>
      </w:pPr>
      <w:r w:rsidRPr="00C43543">
        <w:rPr>
          <w:szCs w:val="28"/>
          <w14:ligatures w14:val="standardContextual"/>
        </w:rPr>
        <w:t xml:space="preserve"> </w:t>
      </w:r>
      <w:r w:rsidRPr="00C43543">
        <w:rPr>
          <w:i/>
          <w:iCs/>
          <w:szCs w:val="28"/>
          <w14:ligatures w14:val="standardContextual"/>
        </w:rPr>
        <w:t>First</w:t>
      </w:r>
      <w:r w:rsidRPr="00C43543">
        <w:rPr>
          <w:szCs w:val="28"/>
          <w14:ligatures w14:val="standardContextual"/>
        </w:rPr>
        <w:t xml:space="preserve">, Monsanto presented no evidence that it warned the relevant intermediary. Monsanto asserts (at 62-63) that information conveyed to GE and Westinghouse satisfied its duty to warn. But Monsanto failed to establish that those companies manufactured the ballasts installed at Sky Valley. And the plaintiffs demonstrated that Universal, a third company unmentioned in Monsanto’s brief, did. </w:t>
      </w:r>
      <w:r w:rsidRPr="00C43543">
        <w:rPr>
          <w:i/>
          <w:iCs/>
          <w:szCs w:val="28"/>
          <w14:ligatures w14:val="standardContextual"/>
        </w:rPr>
        <w:t>See</w:t>
      </w:r>
      <w:r w:rsidRPr="00C43543">
        <w:rPr>
          <w:szCs w:val="28"/>
          <w14:ligatures w14:val="standardContextual"/>
        </w:rPr>
        <w:t xml:space="preserve"> Tr. 1745. </w:t>
      </w:r>
      <w:r w:rsidR="00A27683" w:rsidRPr="00C43543">
        <w:rPr>
          <w:szCs w:val="28"/>
          <w14:ligatures w14:val="standardContextual"/>
        </w:rPr>
        <w:t xml:space="preserve">Monsanto offered no evidence that it conveyed any information to Universal, the only ballast manufacturer whose product was </w:t>
      </w:r>
      <w:proofErr w:type="gramStart"/>
      <w:r w:rsidR="00A27683" w:rsidRPr="00C43543">
        <w:rPr>
          <w:szCs w:val="28"/>
          <w14:ligatures w14:val="standardContextual"/>
        </w:rPr>
        <w:t>actually found</w:t>
      </w:r>
      <w:proofErr w:type="gramEnd"/>
      <w:r w:rsidR="00A27683" w:rsidRPr="00C43543">
        <w:rPr>
          <w:szCs w:val="28"/>
          <w14:ligatures w14:val="standardContextual"/>
        </w:rPr>
        <w:t xml:space="preserve"> at the school, or to any caulk manufacturer at all. This is reason enough to affirm.</w:t>
      </w:r>
    </w:p>
    <w:p w14:paraId="39F42FAB" w14:textId="16171C66" w:rsidR="001C2B7C" w:rsidRPr="00C43543" w:rsidRDefault="001C2B7C" w:rsidP="001C2B7C">
      <w:pPr>
        <w:pStyle w:val="BodyText"/>
        <w:rPr>
          <w:szCs w:val="28"/>
          <w14:ligatures w14:val="standardContextual"/>
        </w:rPr>
      </w:pPr>
      <w:r w:rsidRPr="00C43543">
        <w:rPr>
          <w:i/>
          <w:iCs/>
          <w:szCs w:val="28"/>
          <w14:ligatures w14:val="standardContextual"/>
        </w:rPr>
        <w:t>Second</w:t>
      </w:r>
      <w:r w:rsidRPr="00C43543">
        <w:rPr>
          <w:szCs w:val="28"/>
          <w14:ligatures w14:val="standardContextual"/>
        </w:rPr>
        <w:t xml:space="preserve">, Monsanto never conveyed key </w:t>
      </w:r>
      <w:r w:rsidRPr="00C43543">
        <w:rPr>
          <w:color w:val="000000" w:themeColor="text1"/>
          <w:szCs w:val="28"/>
          <w14:ligatures w14:val="standardContextual"/>
        </w:rPr>
        <w:t xml:space="preserve">warning </w:t>
      </w:r>
      <w:r w:rsidRPr="00C43543">
        <w:rPr>
          <w:szCs w:val="28"/>
          <w14:ligatures w14:val="standardContextual"/>
        </w:rPr>
        <w:t xml:space="preserve">information to ballast and caulk manufacturer intermediaries. The company’s internal documents make clear that it knew that inhalation of PCBs leads to systemic poisoning—full stop. </w:t>
      </w:r>
      <w:r w:rsidRPr="00C43543">
        <w:rPr>
          <w:i/>
          <w:iCs/>
          <w:szCs w:val="28"/>
          <w14:ligatures w14:val="standardContextual"/>
        </w:rPr>
        <w:t>See, e.g.</w:t>
      </w:r>
      <w:r w:rsidRPr="00C43543">
        <w:rPr>
          <w:szCs w:val="28"/>
          <w14:ligatures w14:val="standardContextual"/>
        </w:rPr>
        <w:t xml:space="preserve">, P-162 (Navy’s refusal to purchase PCBs because of the danger inhalation presented even at room temperature); P-149 at 3-4 (PCBs handled at “cold” temperatures are dangerous); P-3116 at 2 (“Vapors of Askarel at room temperature should not be breathed in a confined space”); </w:t>
      </w:r>
      <w:r w:rsidR="00E42A5A" w:rsidRPr="00C43543">
        <w:rPr>
          <w:szCs w:val="28"/>
          <w14:ligatures w14:val="standardContextual"/>
        </w:rPr>
        <w:br/>
      </w:r>
      <w:r w:rsidRPr="00C43543">
        <w:rPr>
          <w:szCs w:val="28"/>
          <w14:ligatures w14:val="standardContextual"/>
        </w:rPr>
        <w:lastRenderedPageBreak/>
        <w:t>P-143 at 2-3 (“[H]</w:t>
      </w:r>
      <w:proofErr w:type="spellStart"/>
      <w:r w:rsidRPr="00C43543">
        <w:rPr>
          <w:szCs w:val="28"/>
          <w14:ligatures w14:val="standardContextual"/>
        </w:rPr>
        <w:t>azardous</w:t>
      </w:r>
      <w:proofErr w:type="spellEnd"/>
      <w:r w:rsidRPr="00C43543">
        <w:rPr>
          <w:szCs w:val="28"/>
          <w14:ligatures w14:val="standardContextual"/>
        </w:rPr>
        <w:t xml:space="preserve"> concentration could be attained in a room in which a large area is painted with </w:t>
      </w:r>
      <w:proofErr w:type="spellStart"/>
      <w:r w:rsidRPr="00C43543">
        <w:rPr>
          <w:szCs w:val="28"/>
          <w14:ligatures w14:val="standardContextual"/>
        </w:rPr>
        <w:t>Aroclor</w:t>
      </w:r>
      <w:proofErr w:type="spellEnd"/>
      <w:r w:rsidRPr="00C43543">
        <w:rPr>
          <w:szCs w:val="28"/>
          <w14:ligatures w14:val="standardContextual"/>
        </w:rPr>
        <w:t xml:space="preserve">-containing paint.”). But when conveying toxicity information to intermediaries, Monsanto warned only of inhalation at extremely high temperatures that end users in classrooms were unlikely to encounter. </w:t>
      </w:r>
      <w:r w:rsidRPr="00C43543">
        <w:rPr>
          <w:i/>
          <w:iCs/>
          <w:szCs w:val="28"/>
          <w14:ligatures w14:val="standardContextual"/>
        </w:rPr>
        <w:t>See, e.g.</w:t>
      </w:r>
      <w:r w:rsidRPr="00C43543">
        <w:rPr>
          <w:szCs w:val="28"/>
          <w14:ligatures w14:val="standardContextual"/>
        </w:rPr>
        <w:t>, D-20015 at 20; D-20002 at 5.</w:t>
      </w:r>
      <w:r w:rsidRPr="00C43543">
        <w:rPr>
          <w:i/>
          <w:iCs/>
          <w:szCs w:val="28"/>
          <w14:ligatures w14:val="standardContextual"/>
        </w:rPr>
        <w:t xml:space="preserve"> </w:t>
      </w:r>
      <w:r w:rsidRPr="00C43543">
        <w:rPr>
          <w:szCs w:val="28"/>
          <w14:ligatures w14:val="standardContextual"/>
        </w:rPr>
        <w:t xml:space="preserve">By doing so, Monsanto withheld the critical information necessary to put intermediaries on notice of the need to warn people like the plaintiffs. Because the sophisticated-purchaser defense is only available “if the employer/purchaser has ‘equal knowledge’ of the product’s dangers,” </w:t>
      </w:r>
      <w:r w:rsidRPr="00C43543">
        <w:rPr>
          <w:i/>
          <w:iCs/>
          <w:szCs w:val="28"/>
          <w14:ligatures w14:val="standardContextual"/>
        </w:rPr>
        <w:t xml:space="preserve">Willis v. </w:t>
      </w:r>
      <w:proofErr w:type="spellStart"/>
      <w:r w:rsidRPr="00C43543">
        <w:rPr>
          <w:i/>
          <w:iCs/>
          <w:szCs w:val="28"/>
          <w14:ligatures w14:val="standardContextual"/>
        </w:rPr>
        <w:t>Raymark</w:t>
      </w:r>
      <w:proofErr w:type="spellEnd"/>
      <w:r w:rsidRPr="00C43543">
        <w:rPr>
          <w:i/>
          <w:iCs/>
          <w:szCs w:val="28"/>
          <w14:ligatures w14:val="standardContextual"/>
        </w:rPr>
        <w:t xml:space="preserve"> Indus., Inc.</w:t>
      </w:r>
      <w:r w:rsidRPr="00C43543">
        <w:rPr>
          <w:szCs w:val="28"/>
          <w14:ligatures w14:val="standardContextual"/>
        </w:rPr>
        <w:t>, 905 F.2d 793, 796 (4th Cir. 1990)</w:t>
      </w:r>
      <w:r w:rsidR="00C81D25" w:rsidRPr="00C43543">
        <w:rPr>
          <w:szCs w:val="28"/>
          <w14:ligatures w14:val="standardContextual"/>
        </w:rPr>
        <w:fldChar w:fldCharType="begin"/>
      </w:r>
      <w:r w:rsidR="00C81D25" w:rsidRPr="00C43543">
        <w:rPr>
          <w:szCs w:val="28"/>
          <w14:ligatures w14:val="standardContextual"/>
        </w:rPr>
        <w:instrText xml:space="preserve"> TA \l "</w:instrText>
      </w:r>
      <w:r w:rsidR="00C81D25" w:rsidRPr="00C43543">
        <w:rPr>
          <w:i/>
          <w:iCs/>
          <w:szCs w:val="28"/>
          <w14:ligatures w14:val="standardContextual"/>
        </w:rPr>
        <w:instrText>Willis v. Raymark Industries, Inc.</w:instrText>
      </w:r>
      <w:r w:rsidR="00C81D25" w:rsidRPr="00C43543">
        <w:rPr>
          <w:szCs w:val="28"/>
          <w14:ligatures w14:val="standardContextual"/>
        </w:rPr>
        <w:instrText>,</w:instrText>
      </w:r>
      <w:r w:rsidR="00C81D25" w:rsidRPr="00C43543">
        <w:rPr>
          <w:szCs w:val="28"/>
          <w14:ligatures w14:val="standardContextual"/>
        </w:rPr>
        <w:br/>
        <w:instrText xml:space="preserve">905 F.2d 793 (4th Cir. 1990)" \s "Willis v. Raymark Indus, 905 F.2d 793" \c 1 </w:instrText>
      </w:r>
      <w:r w:rsidR="00C81D25" w:rsidRPr="00C43543">
        <w:rPr>
          <w:szCs w:val="28"/>
          <w14:ligatures w14:val="standardContextual"/>
        </w:rPr>
        <w:fldChar w:fldCharType="end"/>
      </w:r>
      <w:r w:rsidRPr="00C43543">
        <w:rPr>
          <w:szCs w:val="28"/>
          <w14:ligatures w14:val="standardContextual"/>
        </w:rPr>
        <w:t>, and the record definitively shows that the intermediaries here did not, the trial court did not abuse its discretion.</w:t>
      </w:r>
    </w:p>
    <w:p w14:paraId="67D59580" w14:textId="3DBF26A0" w:rsidR="001C2B7C" w:rsidRPr="00C43543" w:rsidRDefault="001C2B7C" w:rsidP="001C2B7C">
      <w:pPr>
        <w:pStyle w:val="BodyText"/>
        <w:rPr>
          <w:szCs w:val="28"/>
          <w14:ligatures w14:val="standardContextual"/>
        </w:rPr>
      </w:pPr>
      <w:r w:rsidRPr="00C43543">
        <w:rPr>
          <w:i/>
          <w:iCs/>
          <w:szCs w:val="28"/>
          <w14:ligatures w14:val="standardContextual"/>
        </w:rPr>
        <w:t>Third</w:t>
      </w:r>
      <w:r w:rsidRPr="00C43543">
        <w:rPr>
          <w:szCs w:val="28"/>
          <w14:ligatures w14:val="standardContextual"/>
        </w:rPr>
        <w:t xml:space="preserve">, even if the intermediaries had all the relevant information, by the time the ballasts were installed at the school, it was unreasonable for Monsanto to rely on those companies to convey the necessary warnings. Determining whether a manufacturer “reasonably” relied on an intermediary requires consideration of “the gravity of the risks posed by the product, the </w:t>
      </w:r>
      <w:r w:rsidRPr="00C43543">
        <w:rPr>
          <w:szCs w:val="28"/>
          <w14:ligatures w14:val="standardContextual"/>
        </w:rPr>
        <w:lastRenderedPageBreak/>
        <w:t xml:space="preserve">likelihood that the intermediary will convey the information to the ultimate user, and the feasibility and effectiveness of giving a warning directly to the user.” Restatement (Third) of Torts: Prod. </w:t>
      </w:r>
      <w:proofErr w:type="spellStart"/>
      <w:r w:rsidRPr="00C43543">
        <w:rPr>
          <w:szCs w:val="28"/>
          <w14:ligatures w14:val="standardContextual"/>
        </w:rPr>
        <w:t>Liab</w:t>
      </w:r>
      <w:proofErr w:type="spellEnd"/>
      <w:r w:rsidRPr="00C43543">
        <w:rPr>
          <w:szCs w:val="28"/>
          <w14:ligatures w14:val="standardContextual"/>
        </w:rPr>
        <w:t>. § 2</w:t>
      </w:r>
      <w:r w:rsidR="007A75DA" w:rsidRPr="00C43543">
        <w:rPr>
          <w:szCs w:val="28"/>
          <w14:ligatures w14:val="standardContextual"/>
        </w:rPr>
        <w:fldChar w:fldCharType="begin"/>
      </w:r>
      <w:r w:rsidR="007A75DA" w:rsidRPr="00C43543">
        <w:rPr>
          <w:szCs w:val="28"/>
          <w14:ligatures w14:val="standardContextual"/>
        </w:rPr>
        <w:instrText xml:space="preserve"> TA \l "Restatement (Third) of Torts: Product Liability § 2" \s "Restatement (Third) of Torts: Prod. Liab. § 2" \c 3 </w:instrText>
      </w:r>
      <w:r w:rsidR="007A75DA" w:rsidRPr="00C43543">
        <w:rPr>
          <w:szCs w:val="28"/>
          <w14:ligatures w14:val="standardContextual"/>
        </w:rPr>
        <w:fldChar w:fldCharType="end"/>
      </w:r>
      <w:r w:rsidRPr="00C43543">
        <w:rPr>
          <w:szCs w:val="28"/>
          <w14:ligatures w14:val="standardContextual"/>
        </w:rPr>
        <w:t xml:space="preserve">, </w:t>
      </w:r>
      <w:proofErr w:type="spellStart"/>
      <w:r w:rsidRPr="00C43543">
        <w:rPr>
          <w:szCs w:val="28"/>
          <w14:ligatures w14:val="standardContextual"/>
        </w:rPr>
        <w:t>cmt</w:t>
      </w:r>
      <w:proofErr w:type="spellEnd"/>
      <w:r w:rsidRPr="00C43543">
        <w:rPr>
          <w:szCs w:val="28"/>
          <w14:ligatures w14:val="standardContextual"/>
        </w:rPr>
        <w:t xml:space="preserve">. </w:t>
      </w:r>
      <w:proofErr w:type="spellStart"/>
      <w:r w:rsidRPr="00C43543">
        <w:rPr>
          <w:szCs w:val="28"/>
          <w14:ligatures w14:val="standardContextual"/>
        </w:rPr>
        <w:t>i</w:t>
      </w:r>
      <w:proofErr w:type="spellEnd"/>
      <w:r w:rsidRPr="00C43543">
        <w:rPr>
          <w:szCs w:val="28"/>
          <w14:ligatures w14:val="standardContextual"/>
        </w:rPr>
        <w:t xml:space="preserve">; </w:t>
      </w:r>
      <w:r w:rsidRPr="00C43543">
        <w:rPr>
          <w:i/>
          <w:iCs/>
          <w:szCs w:val="28"/>
          <w14:ligatures w14:val="standardContextual"/>
        </w:rPr>
        <w:t xml:space="preserve">see also </w:t>
      </w:r>
      <w:r w:rsidRPr="00C43543">
        <w:rPr>
          <w:szCs w:val="28"/>
          <w14:ligatures w14:val="standardContextual"/>
        </w:rPr>
        <w:t>Restatement (Second) of Torts § 388</w:t>
      </w:r>
      <w:r w:rsidR="007A75DA" w:rsidRPr="00C43543">
        <w:rPr>
          <w:szCs w:val="28"/>
          <w14:ligatures w14:val="standardContextual"/>
        </w:rPr>
        <w:fldChar w:fldCharType="begin"/>
      </w:r>
      <w:r w:rsidR="007A75DA" w:rsidRPr="00C43543">
        <w:rPr>
          <w:szCs w:val="28"/>
          <w14:ligatures w14:val="standardContextual"/>
        </w:rPr>
        <w:instrText xml:space="preserve"> TA \s "Restatement (Second) of Torts, § 388" </w:instrText>
      </w:r>
      <w:r w:rsidR="007A75DA" w:rsidRPr="00C43543">
        <w:rPr>
          <w:szCs w:val="28"/>
          <w14:ligatures w14:val="standardContextual"/>
        </w:rPr>
        <w:fldChar w:fldCharType="end"/>
      </w:r>
      <w:r w:rsidRPr="00C43543">
        <w:rPr>
          <w:szCs w:val="28"/>
          <w14:ligatures w14:val="standardContextual"/>
        </w:rPr>
        <w:t xml:space="preserve">, </w:t>
      </w:r>
      <w:proofErr w:type="spellStart"/>
      <w:r w:rsidRPr="00C43543">
        <w:rPr>
          <w:szCs w:val="28"/>
          <w14:ligatures w14:val="standardContextual"/>
        </w:rPr>
        <w:t>cmt</w:t>
      </w:r>
      <w:proofErr w:type="spellEnd"/>
      <w:r w:rsidRPr="00C43543">
        <w:rPr>
          <w:szCs w:val="28"/>
          <w14:ligatures w14:val="standardContextual"/>
        </w:rPr>
        <w:t xml:space="preserve">. n (similar). With particularly toxic substances, like PCBs, courts have required more than “passive reliance” on an intermediary to provide warnings for that reliance to be reasonable. </w:t>
      </w:r>
      <w:proofErr w:type="spellStart"/>
      <w:r w:rsidRPr="00C43543">
        <w:rPr>
          <w:i/>
          <w:iCs/>
          <w:szCs w:val="28"/>
          <w14:ligatures w14:val="standardContextual"/>
        </w:rPr>
        <w:t>Mikelsen</w:t>
      </w:r>
      <w:proofErr w:type="spellEnd"/>
      <w:r w:rsidRPr="00C43543">
        <w:rPr>
          <w:i/>
          <w:iCs/>
          <w:szCs w:val="28"/>
          <w14:ligatures w14:val="standardContextual"/>
        </w:rPr>
        <w:t xml:space="preserve">, </w:t>
      </w:r>
      <w:r w:rsidRPr="00C43543">
        <w:rPr>
          <w:szCs w:val="28"/>
          <w14:ligatures w14:val="standardContextual"/>
        </w:rPr>
        <w:t>2018 WL 4899305, at *3</w:t>
      </w:r>
      <w:r w:rsidR="008736B2" w:rsidRPr="00C43543">
        <w:rPr>
          <w:szCs w:val="28"/>
          <w14:ligatures w14:val="standardContextual"/>
        </w:rPr>
        <w:fldChar w:fldCharType="begin"/>
      </w:r>
      <w:r w:rsidR="008736B2" w:rsidRPr="00C43543">
        <w:rPr>
          <w:szCs w:val="28"/>
          <w14:ligatures w14:val="standardContextual"/>
        </w:rPr>
        <w:instrText xml:space="preserve"> TA \s "Mikelsen v. Air &amp; Liquid, 2018 WL 4899305" </w:instrText>
      </w:r>
      <w:r w:rsidR="008736B2" w:rsidRPr="00C43543">
        <w:rPr>
          <w:szCs w:val="28"/>
          <w14:ligatures w14:val="standardContextual"/>
        </w:rPr>
        <w:fldChar w:fldCharType="end"/>
      </w:r>
      <w:r w:rsidRPr="00C43543">
        <w:rPr>
          <w:szCs w:val="28"/>
          <w14:ligatures w14:val="standardContextual"/>
        </w:rPr>
        <w:t xml:space="preserve"> (assuming, without deciding, that the defense applies under Washington law). Rather, “[</w:t>
      </w:r>
      <w:proofErr w:type="spellStart"/>
      <w:r w:rsidRPr="00C43543">
        <w:rPr>
          <w:szCs w:val="28"/>
          <w14:ligatures w14:val="standardContextual"/>
        </w:rPr>
        <w:t>i</w:t>
      </w:r>
      <w:proofErr w:type="spellEnd"/>
      <w:r w:rsidRPr="00C43543">
        <w:rPr>
          <w:szCs w:val="28"/>
          <w14:ligatures w14:val="standardContextual"/>
        </w:rPr>
        <w:t xml:space="preserve">]f the substance is extremely dangerous, the supplier may need to take additional steps, such as inquiring about the intermediary’s warning practices, to ensure that warnings are communicated.” </w:t>
      </w:r>
      <w:r w:rsidRPr="00C43543">
        <w:rPr>
          <w:i/>
          <w:iCs/>
          <w:szCs w:val="28"/>
          <w14:ligatures w14:val="standardContextual"/>
        </w:rPr>
        <w:t>Webb v. Special Elec. Co.</w:t>
      </w:r>
      <w:r w:rsidRPr="00C43543">
        <w:rPr>
          <w:szCs w:val="28"/>
          <w14:ligatures w14:val="standardContextual"/>
        </w:rPr>
        <w:t>, 63 Cal. 4th 167, 190 (2016)</w:t>
      </w:r>
      <w:r w:rsidR="008736B2" w:rsidRPr="00C43543">
        <w:rPr>
          <w:szCs w:val="28"/>
          <w14:ligatures w14:val="standardContextual"/>
        </w:rPr>
        <w:fldChar w:fldCharType="begin"/>
      </w:r>
      <w:r w:rsidR="008736B2" w:rsidRPr="00C43543">
        <w:rPr>
          <w:szCs w:val="28"/>
          <w14:ligatures w14:val="standardContextual"/>
        </w:rPr>
        <w:instrText xml:space="preserve"> TA \l "</w:instrText>
      </w:r>
      <w:r w:rsidR="008736B2" w:rsidRPr="00C43543">
        <w:rPr>
          <w:i/>
          <w:iCs/>
          <w:szCs w:val="28"/>
          <w14:ligatures w14:val="standardContextual"/>
        </w:rPr>
        <w:instrText>Webb v. Special Electric Co.</w:instrText>
      </w:r>
      <w:r w:rsidR="008736B2" w:rsidRPr="00C43543">
        <w:rPr>
          <w:szCs w:val="28"/>
          <w14:ligatures w14:val="standardContextual"/>
        </w:rPr>
        <w:instrText>,</w:instrText>
      </w:r>
      <w:r w:rsidR="008736B2" w:rsidRPr="00C43543">
        <w:rPr>
          <w:szCs w:val="28"/>
          <w14:ligatures w14:val="standardContextual"/>
        </w:rPr>
        <w:br/>
        <w:instrText xml:space="preserve">63 Cal. 4th 167, 370 P.3d 1022 (2016)" \s "Webb v. Special Elec, 63 Cal. 4th 167" \c 1 </w:instrText>
      </w:r>
      <w:r w:rsidR="008736B2" w:rsidRPr="00C43543">
        <w:rPr>
          <w:szCs w:val="28"/>
          <w14:ligatures w14:val="standardContextual"/>
        </w:rPr>
        <w:fldChar w:fldCharType="end"/>
      </w:r>
      <w:r w:rsidRPr="00C43543">
        <w:rPr>
          <w:szCs w:val="28"/>
          <w14:ligatures w14:val="standardContextual"/>
        </w:rPr>
        <w:t>.</w:t>
      </w:r>
    </w:p>
    <w:p w14:paraId="07D53C4D" w14:textId="68D60BA2" w:rsidR="001C2B7C" w:rsidRPr="00C43543" w:rsidRDefault="001C2B7C" w:rsidP="001C2B7C">
      <w:pPr>
        <w:pStyle w:val="BodyText"/>
        <w:rPr>
          <w:szCs w:val="28"/>
          <w14:ligatures w14:val="standardContextual"/>
        </w:rPr>
      </w:pPr>
      <w:r w:rsidRPr="00C43543">
        <w:rPr>
          <w:szCs w:val="28"/>
          <w14:ligatures w14:val="standardContextual"/>
        </w:rPr>
        <w:t>Monsanto presented no</w:t>
      </w:r>
      <w:r w:rsidRPr="00C43543">
        <w:rPr>
          <w:i/>
          <w:iCs/>
          <w:szCs w:val="28"/>
          <w14:ligatures w14:val="standardContextual"/>
        </w:rPr>
        <w:t xml:space="preserve"> </w:t>
      </w:r>
      <w:r w:rsidRPr="00C43543">
        <w:rPr>
          <w:szCs w:val="28"/>
          <w14:ligatures w14:val="standardContextual"/>
        </w:rPr>
        <w:t xml:space="preserve">evidence that its reliance was reasonable. Ballasts and caulk had been on the market for three decades before they were installed in Sky Valley. At </w:t>
      </w:r>
      <w:r w:rsidRPr="00C43543">
        <w:rPr>
          <w:i/>
          <w:iCs/>
          <w:szCs w:val="28"/>
          <w14:ligatures w14:val="standardContextual"/>
        </w:rPr>
        <w:t>no point</w:t>
      </w:r>
      <w:r w:rsidRPr="00C43543">
        <w:rPr>
          <w:szCs w:val="28"/>
          <w14:ligatures w14:val="standardContextual"/>
        </w:rPr>
        <w:t xml:space="preserve"> in that multi-decade span did </w:t>
      </w:r>
      <w:r w:rsidRPr="00C43543">
        <w:rPr>
          <w:i/>
          <w:iCs/>
          <w:szCs w:val="28"/>
          <w14:ligatures w14:val="standardContextual"/>
        </w:rPr>
        <w:t>any</w:t>
      </w:r>
      <w:r w:rsidRPr="00C43543">
        <w:rPr>
          <w:szCs w:val="28"/>
          <w14:ligatures w14:val="standardContextual"/>
        </w:rPr>
        <w:t xml:space="preserve"> company issue a single warning to end users—a fact that Monsanto surely knew given the importance of the capacitor business to the company’s bottom line. Nor did Monsanto present evidence that it made any effort at all to inquire </w:t>
      </w:r>
      <w:r w:rsidRPr="00C43543">
        <w:rPr>
          <w:szCs w:val="28"/>
          <w14:ligatures w14:val="standardContextual"/>
        </w:rPr>
        <w:lastRenderedPageBreak/>
        <w:t xml:space="preserve">into the intermediaries’ warning practices or otherwise ensure that warnings were being passed along. The trial court did not abuse its discretion in refusing to instruct the jury in the face of this barren record. </w:t>
      </w:r>
      <w:r w:rsidRPr="00C43543">
        <w:rPr>
          <w:i/>
          <w:iCs/>
          <w:szCs w:val="28"/>
          <w14:ligatures w14:val="standardContextual"/>
        </w:rPr>
        <w:t>See, e.g.</w:t>
      </w:r>
      <w:r w:rsidRPr="00C43543">
        <w:rPr>
          <w:szCs w:val="28"/>
          <w14:ligatures w14:val="standardContextual"/>
        </w:rPr>
        <w:t xml:space="preserve">, </w:t>
      </w:r>
      <w:r w:rsidRPr="00C43543">
        <w:rPr>
          <w:i/>
          <w:iCs/>
          <w:szCs w:val="28"/>
          <w14:ligatures w14:val="standardContextual"/>
        </w:rPr>
        <w:t>Willis</w:t>
      </w:r>
      <w:r w:rsidRPr="00C43543">
        <w:rPr>
          <w:szCs w:val="28"/>
          <w14:ligatures w14:val="standardContextual"/>
        </w:rPr>
        <w:t>, 905 F.2d at 797</w:t>
      </w:r>
      <w:r w:rsidR="00F26DF9" w:rsidRPr="00C43543">
        <w:rPr>
          <w:szCs w:val="28"/>
          <w14:ligatures w14:val="standardContextual"/>
        </w:rPr>
        <w:fldChar w:fldCharType="begin"/>
      </w:r>
      <w:r w:rsidR="00F26DF9" w:rsidRPr="00C43543">
        <w:rPr>
          <w:szCs w:val="28"/>
          <w14:ligatures w14:val="standardContextual"/>
        </w:rPr>
        <w:instrText xml:space="preserve"> TA \s "Willis v. Raymark Indus, 905 F.2d 793" </w:instrText>
      </w:r>
      <w:r w:rsidR="00F26DF9" w:rsidRPr="00C43543">
        <w:rPr>
          <w:szCs w:val="28"/>
          <w14:ligatures w14:val="standardContextual"/>
        </w:rPr>
        <w:fldChar w:fldCharType="end"/>
      </w:r>
      <w:r w:rsidRPr="00C43543">
        <w:rPr>
          <w:szCs w:val="28"/>
          <w14:ligatures w14:val="standardContextual"/>
        </w:rPr>
        <w:t xml:space="preserve"> (affirming refusal of defense where manufacturer “offer[ed] no evidence</w:t>
      </w:r>
      <w:r w:rsidR="00B9252E" w:rsidRPr="00C43543">
        <w:rPr>
          <w:szCs w:val="28"/>
          <w14:ligatures w14:val="standardContextual"/>
        </w:rPr>
        <w:t xml:space="preserve"> . . . </w:t>
      </w:r>
      <w:r w:rsidRPr="00C43543">
        <w:rPr>
          <w:szCs w:val="28"/>
          <w14:ligatures w14:val="standardContextual"/>
        </w:rPr>
        <w:t>that it attempted to ascertain whether [intermediary] could reasonably be relied upon to disseminate information about the dangers of the product”).</w:t>
      </w:r>
    </w:p>
    <w:p w14:paraId="7992503E" w14:textId="490F5EBA" w:rsidR="00031B14" w:rsidRPr="00C43543" w:rsidRDefault="00031B14" w:rsidP="00031B14">
      <w:pPr>
        <w:pStyle w:val="BodyText"/>
        <w:rPr>
          <w:szCs w:val="28"/>
          <w14:ligatures w14:val="standardContextual"/>
        </w:rPr>
      </w:pPr>
      <w:r w:rsidRPr="00C43543">
        <w:rPr>
          <w:szCs w:val="28"/>
          <w14:ligatures w14:val="standardContextual"/>
        </w:rPr>
        <w:t xml:space="preserve">Finally, for multiple reasons, Monsanto’s unsupported suggestion (at 61) that it lacked a feasible means of conveying warnings does not entitle it to an instruction. To start, the infeasibility of direct warnings is a factor considered in assessing the reasonableness of reliance on an intermediary. </w:t>
      </w:r>
      <w:r w:rsidRPr="00C43543">
        <w:rPr>
          <w:i/>
          <w:iCs/>
          <w:szCs w:val="28"/>
          <w14:ligatures w14:val="standardContextual"/>
        </w:rPr>
        <w:t>See</w:t>
      </w:r>
      <w:r w:rsidRPr="00C43543">
        <w:rPr>
          <w:szCs w:val="28"/>
          <w14:ligatures w14:val="standardContextual"/>
        </w:rPr>
        <w:t xml:space="preserve"> Restatement</w:t>
      </w:r>
      <w:r w:rsidR="00A27683" w:rsidRPr="00C43543">
        <w:rPr>
          <w:szCs w:val="28"/>
          <w14:ligatures w14:val="standardContextual"/>
        </w:rPr>
        <w:t xml:space="preserve"> (Second) of Torts </w:t>
      </w:r>
      <w:r w:rsidRPr="00C43543">
        <w:rPr>
          <w:szCs w:val="28"/>
          <w14:ligatures w14:val="standardContextual"/>
        </w:rPr>
        <w:t xml:space="preserve">§ 388, </w:t>
      </w:r>
      <w:proofErr w:type="spellStart"/>
      <w:r w:rsidRPr="00C43543">
        <w:rPr>
          <w:szCs w:val="28"/>
          <w14:ligatures w14:val="standardContextual"/>
        </w:rPr>
        <w:t>cmt</w:t>
      </w:r>
      <w:proofErr w:type="spellEnd"/>
      <w:r w:rsidRPr="00C43543">
        <w:rPr>
          <w:szCs w:val="28"/>
          <w14:ligatures w14:val="standardContextual"/>
        </w:rPr>
        <w:t xml:space="preserve">. </w:t>
      </w:r>
      <w:r w:rsidR="00F26DF9" w:rsidRPr="00C43543">
        <w:rPr>
          <w:szCs w:val="28"/>
          <w14:ligatures w14:val="standardContextual"/>
        </w:rPr>
        <w:t>n</w:t>
      </w:r>
      <w:r w:rsidRPr="00C43543">
        <w:rPr>
          <w:szCs w:val="28"/>
          <w14:ligatures w14:val="standardContextual"/>
        </w:rPr>
        <w:t>.</w:t>
      </w:r>
      <w:r w:rsidR="00F26DF9" w:rsidRPr="00C43543">
        <w:rPr>
          <w:szCs w:val="28"/>
          <w14:ligatures w14:val="standardContextual"/>
        </w:rPr>
        <w:fldChar w:fldCharType="begin"/>
      </w:r>
      <w:r w:rsidR="00F26DF9" w:rsidRPr="00C43543">
        <w:rPr>
          <w:szCs w:val="28"/>
          <w14:ligatures w14:val="standardContextual"/>
        </w:rPr>
        <w:instrText xml:space="preserve"> TA \s "Restatement (Second) of Torts, § 388" </w:instrText>
      </w:r>
      <w:r w:rsidR="00F26DF9" w:rsidRPr="00C43543">
        <w:rPr>
          <w:szCs w:val="28"/>
          <w14:ligatures w14:val="standardContextual"/>
        </w:rPr>
        <w:fldChar w:fldCharType="end"/>
      </w:r>
      <w:r w:rsidRPr="00C43543">
        <w:rPr>
          <w:szCs w:val="28"/>
          <w14:ligatures w14:val="standardContextual"/>
        </w:rPr>
        <w:t xml:space="preserve"> Where, as here, no warning is given to end users for thirty years prior to the sales in question, the difficulties a manufacturer may face in issuing a warning cannot render reliance on a non-warning “reasonable.” And it was Monsanto’s burden to demonstrate that warnings were infeasible. </w:t>
      </w:r>
      <w:r w:rsidR="00B9252E" w:rsidRPr="00C43543">
        <w:rPr>
          <w:szCs w:val="28"/>
          <w14:ligatures w14:val="standardContextual"/>
        </w:rPr>
        <w:t>But rather</w:t>
      </w:r>
      <w:r w:rsidRPr="00C43543">
        <w:rPr>
          <w:szCs w:val="28"/>
          <w14:ligatures w14:val="standardContextual"/>
        </w:rPr>
        <w:t xml:space="preserve"> than cite evidence of infeasibility from the record in</w:t>
      </w:r>
      <w:r w:rsidRPr="00C43543">
        <w:rPr>
          <w:i/>
          <w:iCs/>
          <w:szCs w:val="28"/>
          <w14:ligatures w14:val="standardContextual"/>
        </w:rPr>
        <w:t xml:space="preserve"> this</w:t>
      </w:r>
      <w:r w:rsidRPr="00C43543">
        <w:rPr>
          <w:szCs w:val="28"/>
          <w14:ligatures w14:val="standardContextual"/>
        </w:rPr>
        <w:t xml:space="preserve"> case, it tries to carry its burden by citing (at 61) other cases with different records. </w:t>
      </w:r>
    </w:p>
    <w:p w14:paraId="7D1D59D3" w14:textId="6522CBA7" w:rsidR="00031B14" w:rsidRPr="00C43543" w:rsidRDefault="00031B14" w:rsidP="00031B14">
      <w:pPr>
        <w:pStyle w:val="BodyText"/>
        <w:rPr>
          <w:szCs w:val="28"/>
          <w14:ligatures w14:val="standardContextual"/>
        </w:rPr>
      </w:pPr>
      <w:r w:rsidRPr="00C43543">
        <w:rPr>
          <w:szCs w:val="28"/>
          <w14:ligatures w14:val="standardContextual"/>
        </w:rPr>
        <w:lastRenderedPageBreak/>
        <w:t>Maybe because the record here shows that direct warnings were, in fact, feasible. After the public realized the danger that PCBs p</w:t>
      </w:r>
      <w:r w:rsidR="00A27683" w:rsidRPr="00C43543">
        <w:rPr>
          <w:szCs w:val="28"/>
          <w14:ligatures w14:val="standardContextual"/>
        </w:rPr>
        <w:t>ose</w:t>
      </w:r>
      <w:r w:rsidRPr="00C43543">
        <w:rPr>
          <w:szCs w:val="28"/>
          <w14:ligatures w14:val="standardContextual"/>
        </w:rPr>
        <w:t>, Monsanto considered conducting an “educational/PR campaign” to directly reach “lighting contractors or maintenance people”—and the company deemed it “worthwhile and productive” to warn them of the risks that ballasts presented. P-2531</w:t>
      </w:r>
      <w:r w:rsidR="003F08B5" w:rsidRPr="00C43543">
        <w:rPr>
          <w:szCs w:val="28"/>
          <w14:ligatures w14:val="standardContextual"/>
        </w:rPr>
        <w:t>;</w:t>
      </w:r>
      <w:r w:rsidRPr="00C43543">
        <w:rPr>
          <w:szCs w:val="28"/>
          <w14:ligatures w14:val="standardContextual"/>
        </w:rPr>
        <w:t xml:space="preserve"> </w:t>
      </w:r>
      <w:r w:rsidR="00A27ACA" w:rsidRPr="00C43543">
        <w:rPr>
          <w:i/>
          <w:iCs/>
          <w:szCs w:val="28"/>
          <w14:ligatures w14:val="standardContextual"/>
        </w:rPr>
        <w:t xml:space="preserve">see also </w:t>
      </w:r>
      <w:r w:rsidR="00F26DF9" w:rsidRPr="00C43543">
        <w:rPr>
          <w:i/>
          <w:iCs/>
          <w:szCs w:val="28"/>
          <w14:ligatures w14:val="standardContextual"/>
        </w:rPr>
        <w:br/>
      </w:r>
      <w:r w:rsidR="00A27ACA" w:rsidRPr="00C43543">
        <w:rPr>
          <w:szCs w:val="28"/>
          <w14:ligatures w14:val="standardContextual"/>
        </w:rPr>
        <w:t>P-884 (“[O]ne idea would be a Monsanto supported program of education beamed at appropriate audiences.”);</w:t>
      </w:r>
      <w:r w:rsidR="0042512F" w:rsidRPr="00C43543">
        <w:rPr>
          <w:szCs w:val="28"/>
          <w14:ligatures w14:val="standardContextual"/>
        </w:rPr>
        <w:t xml:space="preserve"> </w:t>
      </w:r>
      <w:r w:rsidRPr="00C43543">
        <w:rPr>
          <w:i/>
          <w:iCs/>
          <w:szCs w:val="28"/>
          <w14:ligatures w14:val="standardContextual"/>
        </w:rPr>
        <w:t>cf.</w:t>
      </w:r>
      <w:r w:rsidRPr="00C43543">
        <w:rPr>
          <w:szCs w:val="28"/>
          <w14:ligatures w14:val="standardContextual"/>
        </w:rPr>
        <w:t xml:space="preserve"> </w:t>
      </w:r>
      <w:r w:rsidR="00B9252E" w:rsidRPr="00C43543">
        <w:rPr>
          <w:i/>
          <w:iCs/>
          <w:szCs w:val="28"/>
          <w14:ligatures w14:val="standardContextual"/>
        </w:rPr>
        <w:t>Nye</w:t>
      </w:r>
      <w:r w:rsidR="00B9252E" w:rsidRPr="00C43543">
        <w:rPr>
          <w:szCs w:val="28"/>
          <w14:ligatures w14:val="standardContextual"/>
        </w:rPr>
        <w:t>, 347 S.W.3d at 706</w:t>
      </w:r>
      <w:r w:rsidR="00F26DF9" w:rsidRPr="00C43543">
        <w:rPr>
          <w:szCs w:val="28"/>
          <w14:ligatures w14:val="standardContextual"/>
        </w:rPr>
        <w:fldChar w:fldCharType="begin"/>
      </w:r>
      <w:r w:rsidR="00F26DF9" w:rsidRPr="00C43543">
        <w:rPr>
          <w:szCs w:val="28"/>
          <w14:ligatures w14:val="standardContextual"/>
        </w:rPr>
        <w:instrText xml:space="preserve"> TA \s "Nye v. Bayer Cropscience, 347 S.W.3d 686" </w:instrText>
      </w:r>
      <w:r w:rsidR="00F26DF9" w:rsidRPr="00C43543">
        <w:rPr>
          <w:szCs w:val="28"/>
          <w14:ligatures w14:val="standardContextual"/>
        </w:rPr>
        <w:fldChar w:fldCharType="end"/>
      </w:r>
      <w:r w:rsidR="00B9252E" w:rsidRPr="00C43543">
        <w:rPr>
          <w:szCs w:val="28"/>
          <w14:ligatures w14:val="standardContextual"/>
        </w:rPr>
        <w:t xml:space="preserve"> </w:t>
      </w:r>
      <w:r w:rsidRPr="00C43543">
        <w:rPr>
          <w:szCs w:val="28"/>
          <w14:ligatures w14:val="standardContextual"/>
        </w:rPr>
        <w:t xml:space="preserve">(explaining that manufacturer could ensure adequate warnings by engaging in joint information sessions with intermediaries). Monsanto never followed through—instead, choosing to continue its false narrative that PCBs were safe—but its proposed campaign confirms that it </w:t>
      </w:r>
      <w:r w:rsidRPr="00C43543">
        <w:rPr>
          <w:i/>
          <w:iCs/>
          <w:szCs w:val="28"/>
          <w14:ligatures w14:val="standardContextual"/>
        </w:rPr>
        <w:t>was</w:t>
      </w:r>
      <w:r w:rsidRPr="00C43543">
        <w:rPr>
          <w:szCs w:val="28"/>
          <w14:ligatures w14:val="standardContextual"/>
        </w:rPr>
        <w:t xml:space="preserve"> feasible to warn end users.</w:t>
      </w:r>
    </w:p>
    <w:p w14:paraId="4C1C0E98" w14:textId="47CDCE8A" w:rsidR="00846681" w:rsidRPr="00C43543" w:rsidRDefault="001C2B7C" w:rsidP="001C2B7C">
      <w:pPr>
        <w:pStyle w:val="BodyText"/>
        <w:rPr>
          <w:szCs w:val="28"/>
          <w14:ligatures w14:val="standardContextual"/>
        </w:rPr>
      </w:pPr>
      <w:r w:rsidRPr="00C43543">
        <w:rPr>
          <w:szCs w:val="28"/>
          <w14:ligatures w14:val="standardContextual"/>
        </w:rPr>
        <w:t>In the end, Monsanto leveraged its market position to hike prices rather than ensure that warnings would reach the plaintiffs and many others like them. The trial court did not abuse its discretion in refusing to instruct the jury on Monsanto’s sophisticated-purchaser affirmative defense</w:t>
      </w:r>
      <w:r w:rsidR="00984363" w:rsidRPr="00C43543">
        <w:rPr>
          <w:szCs w:val="28"/>
          <w14:ligatures w14:val="standardContextual"/>
        </w:rPr>
        <w:t>.</w:t>
      </w:r>
      <w:r w:rsidR="00984363" w:rsidRPr="00E405C4">
        <w:rPr>
          <w:rFonts w:cs="Baskerville"/>
          <w:szCs w:val="28"/>
          <w:u w:val="single"/>
          <w14:ligatures w14:val="standardContextual"/>
        </w:rPr>
        <w:t xml:space="preserve"> </w:t>
      </w:r>
    </w:p>
    <w:p w14:paraId="37AB0334" w14:textId="62F7D9E2" w:rsidR="00123D75" w:rsidRPr="00C43543" w:rsidRDefault="00123D75" w:rsidP="00FC3399">
      <w:pPr>
        <w:pStyle w:val="Heading2"/>
        <w:rPr>
          <w:rFonts w:ascii="Adobe Garamond Pro" w:hAnsi="Adobe Garamond Pro"/>
          <w14:ligatures w14:val="standardContextual"/>
        </w:rPr>
      </w:pPr>
      <w:bookmarkStart w:id="60" w:name="_Toc109728346"/>
      <w:r w:rsidRPr="00C43543">
        <w:rPr>
          <w:rFonts w:ascii="Adobe Garamond Pro" w:hAnsi="Adobe Garamond Pro"/>
          <w14:ligatures w14:val="standardContextual"/>
        </w:rPr>
        <w:lastRenderedPageBreak/>
        <w:t xml:space="preserve">The </w:t>
      </w:r>
      <w:r w:rsidR="00D355C4" w:rsidRPr="00C43543">
        <w:rPr>
          <w:rFonts w:ascii="Adobe Garamond Pro" w:hAnsi="Adobe Garamond Pro"/>
          <w14:ligatures w14:val="standardContextual"/>
        </w:rPr>
        <w:t>trial</w:t>
      </w:r>
      <w:r w:rsidRPr="00C43543">
        <w:rPr>
          <w:rFonts w:ascii="Adobe Garamond Pro" w:hAnsi="Adobe Garamond Pro"/>
          <w14:ligatures w14:val="standardContextual"/>
        </w:rPr>
        <w:t xml:space="preserve"> court properly admitted the expert testimony of Dr. James Dahlgren, Kevin Coghlan, and Dr. Richard </w:t>
      </w:r>
      <w:proofErr w:type="spellStart"/>
      <w:r w:rsidRPr="00C43543">
        <w:rPr>
          <w:rFonts w:ascii="Adobe Garamond Pro" w:hAnsi="Adobe Garamond Pro"/>
          <w14:ligatures w14:val="standardContextual"/>
        </w:rPr>
        <w:t>Perrillo</w:t>
      </w:r>
      <w:proofErr w:type="spellEnd"/>
      <w:r w:rsidRPr="00C43543">
        <w:rPr>
          <w:rFonts w:ascii="Adobe Garamond Pro" w:hAnsi="Adobe Garamond Pro"/>
          <w14:ligatures w14:val="standardContextual"/>
        </w:rPr>
        <w:t>.</w:t>
      </w:r>
      <w:bookmarkEnd w:id="60"/>
    </w:p>
    <w:p w14:paraId="36A6A6C0" w14:textId="7D939813" w:rsidR="00123D75" w:rsidRPr="00C43543" w:rsidRDefault="00123D75" w:rsidP="00123D75">
      <w:pPr>
        <w:pStyle w:val="BodyText"/>
        <w:rPr>
          <w:szCs w:val="28"/>
          <w14:ligatures w14:val="standardContextual"/>
        </w:rPr>
      </w:pPr>
      <w:r w:rsidRPr="00C43543">
        <w:rPr>
          <w:szCs w:val="28"/>
          <w14:ligatures w14:val="standardContextual"/>
        </w:rPr>
        <w:t xml:space="preserve">Over seven weeks of trial, the jury heard testimony from more than a dozen expert witnesses. Eight of the plaintiffs’ experts took the stand, and Monsanto’s seven experts testified in response. At the end of the trial, the jury credited the plaintiffs’ expert evidence: It found that the plaintiffs’ </w:t>
      </w:r>
      <w:r w:rsidR="005F6C2B">
        <w:rPr>
          <w:szCs w:val="28"/>
          <w14:ligatures w14:val="standardContextual"/>
        </w:rPr>
        <w:t xml:space="preserve">chronic </w:t>
      </w:r>
      <w:r w:rsidRPr="00C43543">
        <w:rPr>
          <w:szCs w:val="28"/>
          <w14:ligatures w14:val="standardContextual"/>
        </w:rPr>
        <w:t xml:space="preserve">exposure to PCBs while teaching at Sky Valley caused their brain injuries and health problems. </w:t>
      </w:r>
    </w:p>
    <w:p w14:paraId="3257EAD1" w14:textId="5E3A8A58" w:rsidR="00123D75" w:rsidRPr="00C43543" w:rsidRDefault="00123D75" w:rsidP="00123D75">
      <w:pPr>
        <w:pStyle w:val="BodyText"/>
        <w:rPr>
          <w:szCs w:val="28"/>
          <w14:ligatures w14:val="standardContextual"/>
        </w:rPr>
      </w:pPr>
      <w:r w:rsidRPr="00C43543">
        <w:rPr>
          <w:szCs w:val="28"/>
          <w14:ligatures w14:val="standardContextual"/>
        </w:rPr>
        <w:t>On appeal, Monsanto levies a hodgepodge of attacks against three of the plaintiffs’ experts. But nearly all of Monsanto’s arguments go to the weight of the experts’ testimony</w:t>
      </w:r>
      <w:r w:rsidR="00D75B64" w:rsidRPr="00C43543">
        <w:rPr>
          <w:szCs w:val="28"/>
          <w14:ligatures w14:val="standardContextual"/>
        </w:rPr>
        <w:t>—the paradigmatic question for the jury to decide—</w:t>
      </w:r>
      <w:r w:rsidRPr="00C43543">
        <w:rPr>
          <w:szCs w:val="28"/>
          <w14:ligatures w14:val="standardContextual"/>
        </w:rPr>
        <w:t xml:space="preserve">not its admissibility. </w:t>
      </w:r>
      <w:r w:rsidR="00D75B64" w:rsidRPr="00C43543">
        <w:rPr>
          <w:szCs w:val="28"/>
          <w14:ligatures w14:val="standardContextual"/>
        </w:rPr>
        <w:t>T</w:t>
      </w:r>
      <w:r w:rsidRPr="00C43543">
        <w:rPr>
          <w:szCs w:val="28"/>
          <w14:ligatures w14:val="standardContextual"/>
        </w:rPr>
        <w:t xml:space="preserve">he rest of its arguments run afoul of a basic principle of Washington evidence law: The trial court has “broad discretion to determine the circumstances under which expert testimony will be allowed.” </w:t>
      </w:r>
      <w:r w:rsidRPr="00C43543">
        <w:rPr>
          <w:i/>
          <w:iCs/>
          <w:szCs w:val="28"/>
          <w14:ligatures w14:val="standardContextual"/>
        </w:rPr>
        <w:t>Johnston-Forbes v. Matsunaga</w:t>
      </w:r>
      <w:r w:rsidRPr="00C43543">
        <w:rPr>
          <w:szCs w:val="28"/>
          <w14:ligatures w14:val="standardContextual"/>
        </w:rPr>
        <w:t>, 181 Wn.2d 346, 354, 333 P.3d 388 (2014)</w:t>
      </w:r>
      <w:r w:rsidR="00C7502B" w:rsidRPr="00C43543">
        <w:rPr>
          <w:szCs w:val="28"/>
          <w14:ligatures w14:val="standardContextual"/>
        </w:rPr>
        <w:fldChar w:fldCharType="begin"/>
      </w:r>
      <w:r w:rsidR="00C7502B" w:rsidRPr="00C43543">
        <w:rPr>
          <w:szCs w:val="28"/>
          <w14:ligatures w14:val="standardContextual"/>
        </w:rPr>
        <w:instrText xml:space="preserve"> TA \l </w:instrText>
      </w:r>
      <w:r w:rsidR="005F6C2B">
        <w:rPr>
          <w:szCs w:val="28"/>
          <w14:ligatures w14:val="standardContextual"/>
        </w:rPr>
        <w:instrText>“</w:instrText>
      </w:r>
      <w:r w:rsidR="00C7502B" w:rsidRPr="00C43543">
        <w:rPr>
          <w:i/>
          <w:iCs/>
          <w:szCs w:val="28"/>
          <w14:ligatures w14:val="standardContextual"/>
        </w:rPr>
        <w:instrText>Johnston-Forbes v. Matsunaga</w:instrText>
      </w:r>
      <w:r w:rsidR="00C7502B" w:rsidRPr="00C43543">
        <w:rPr>
          <w:szCs w:val="28"/>
          <w14:ligatures w14:val="standardContextual"/>
        </w:rPr>
        <w:instrText>,</w:instrText>
      </w:r>
      <w:r w:rsidR="00C7502B" w:rsidRPr="00C43543">
        <w:rPr>
          <w:szCs w:val="28"/>
          <w14:ligatures w14:val="standardContextual"/>
        </w:rPr>
        <w:br/>
        <w:instrText>181 Wn.2d 346, 333 P.3d 388 (2014)</w:instrText>
      </w:r>
      <w:r w:rsidR="005F6C2B">
        <w:rPr>
          <w:szCs w:val="28"/>
          <w14:ligatures w14:val="standardContextual"/>
        </w:rPr>
        <w:instrText>”</w:instrText>
      </w:r>
      <w:r w:rsidR="00C7502B" w:rsidRPr="00C43543">
        <w:rPr>
          <w:szCs w:val="28"/>
          <w14:ligatures w14:val="standardContextual"/>
        </w:rPr>
        <w:instrText xml:space="preserve"> \s </w:instrText>
      </w:r>
      <w:r w:rsidR="005F6C2B">
        <w:rPr>
          <w:szCs w:val="28"/>
          <w14:ligatures w14:val="standardContextual"/>
        </w:rPr>
        <w:instrText>“</w:instrText>
      </w:r>
      <w:r w:rsidR="00C7502B" w:rsidRPr="00C43543">
        <w:rPr>
          <w:szCs w:val="28"/>
          <w14:ligatures w14:val="standardContextual"/>
        </w:rPr>
        <w:instrText>Johnston-Forbes, 181 Wn.2d 346</w:instrText>
      </w:r>
      <w:r w:rsidR="005F6C2B">
        <w:rPr>
          <w:szCs w:val="28"/>
          <w14:ligatures w14:val="standardContextual"/>
        </w:rPr>
        <w:instrText>”</w:instrText>
      </w:r>
      <w:r w:rsidR="00C7502B" w:rsidRPr="00C43543">
        <w:rPr>
          <w:szCs w:val="28"/>
          <w14:ligatures w14:val="standardContextual"/>
        </w:rPr>
        <w:instrText xml:space="preserve"> \c 1 </w:instrText>
      </w:r>
      <w:r w:rsidR="00C7502B" w:rsidRPr="00C43543">
        <w:rPr>
          <w:szCs w:val="28"/>
          <w14:ligatures w14:val="standardContextual"/>
        </w:rPr>
        <w:fldChar w:fldCharType="end"/>
      </w:r>
      <w:r w:rsidRPr="00C43543">
        <w:rPr>
          <w:szCs w:val="28"/>
          <w14:ligatures w14:val="standardContextual"/>
        </w:rPr>
        <w:t xml:space="preserve">. “The exercise of such discretion will not be disturbed by an appellate court except for a very plain abuse thereof.” </w:t>
      </w:r>
      <w:proofErr w:type="spellStart"/>
      <w:r w:rsidRPr="00C43543">
        <w:rPr>
          <w:i/>
          <w:iCs/>
          <w:szCs w:val="28"/>
          <w14:ligatures w14:val="standardContextual"/>
        </w:rPr>
        <w:t>Katare</w:t>
      </w:r>
      <w:proofErr w:type="spellEnd"/>
      <w:r w:rsidRPr="00C43543">
        <w:rPr>
          <w:i/>
          <w:iCs/>
          <w:szCs w:val="28"/>
          <w14:ligatures w14:val="standardContextual"/>
        </w:rPr>
        <w:t xml:space="preserve"> v. </w:t>
      </w:r>
      <w:proofErr w:type="spellStart"/>
      <w:r w:rsidRPr="00C43543">
        <w:rPr>
          <w:i/>
          <w:iCs/>
          <w:szCs w:val="28"/>
          <w14:ligatures w14:val="standardContextual"/>
        </w:rPr>
        <w:t>Katare</w:t>
      </w:r>
      <w:proofErr w:type="spellEnd"/>
      <w:r w:rsidRPr="00C43543">
        <w:rPr>
          <w:i/>
          <w:iCs/>
          <w:szCs w:val="28"/>
          <w14:ligatures w14:val="standardContextual"/>
        </w:rPr>
        <w:t>,</w:t>
      </w:r>
      <w:r w:rsidRPr="00C43543">
        <w:rPr>
          <w:szCs w:val="28"/>
          <w14:ligatures w14:val="standardContextual"/>
        </w:rPr>
        <w:t xml:space="preserve"> 175 Wn.2d 23, 38, 283 P.3d 546 (2012)</w:t>
      </w:r>
      <w:r w:rsidR="00DD7B52" w:rsidRPr="00C43543">
        <w:rPr>
          <w:szCs w:val="28"/>
          <w14:ligatures w14:val="standardContextual"/>
        </w:rPr>
        <w:fldChar w:fldCharType="begin"/>
      </w:r>
      <w:r w:rsidR="00DD7B52" w:rsidRPr="00C43543">
        <w:rPr>
          <w:szCs w:val="28"/>
          <w14:ligatures w14:val="standardContextual"/>
        </w:rPr>
        <w:instrText xml:space="preserve"> TA \s </w:instrText>
      </w:r>
      <w:r w:rsidR="005F6C2B">
        <w:rPr>
          <w:szCs w:val="28"/>
          <w14:ligatures w14:val="standardContextual"/>
        </w:rPr>
        <w:instrText>“</w:instrText>
      </w:r>
      <w:r w:rsidR="00DD7B52" w:rsidRPr="00C43543">
        <w:rPr>
          <w:szCs w:val="28"/>
          <w14:ligatures w14:val="standardContextual"/>
        </w:rPr>
        <w:instrText>Katare v. Katare, 175 Wn.2d 23</w:instrText>
      </w:r>
      <w:r w:rsidR="005F6C2B">
        <w:rPr>
          <w:szCs w:val="28"/>
          <w14:ligatures w14:val="standardContextual"/>
        </w:rPr>
        <w:instrText>”</w:instrText>
      </w:r>
      <w:r w:rsidR="00DD7B52" w:rsidRPr="00C43543">
        <w:rPr>
          <w:szCs w:val="28"/>
          <w14:ligatures w14:val="standardContextual"/>
        </w:rPr>
        <w:instrText xml:space="preserve"> </w:instrText>
      </w:r>
      <w:r w:rsidR="00DD7B52" w:rsidRPr="00C43543">
        <w:rPr>
          <w:szCs w:val="28"/>
          <w14:ligatures w14:val="standardContextual"/>
        </w:rPr>
        <w:fldChar w:fldCharType="end"/>
      </w:r>
      <w:r w:rsidRPr="00C43543">
        <w:rPr>
          <w:szCs w:val="28"/>
          <w14:ligatures w14:val="standardContextual"/>
        </w:rPr>
        <w:t>.</w:t>
      </w:r>
    </w:p>
    <w:p w14:paraId="71D8304F" w14:textId="77777777" w:rsidR="00123D75" w:rsidRPr="00C43543" w:rsidRDefault="00123D75" w:rsidP="00123D75">
      <w:pPr>
        <w:pStyle w:val="BodyText"/>
        <w:rPr>
          <w:szCs w:val="28"/>
          <w14:ligatures w14:val="standardContextual"/>
        </w:rPr>
      </w:pPr>
      <w:r w:rsidRPr="00C43543">
        <w:rPr>
          <w:szCs w:val="28"/>
          <w14:ligatures w14:val="standardContextual"/>
        </w:rPr>
        <w:lastRenderedPageBreak/>
        <w:t xml:space="preserve">There is no basis for finding any abuse of discretion here—let alone “a very plain abuse.” The parties submitted hundreds of pages of briefing and evidence concerning these experts’ qualifications, scientific theories, and methodologies. After holding numerous hearings, two different judges ruled that the experts’ testimony was admissible. Monsanto offers no sound reason for this Court, on a cold record, to substitute its own judgment for those decisions. </w:t>
      </w:r>
    </w:p>
    <w:p w14:paraId="0DC2457B" w14:textId="77777777" w:rsidR="00123D75" w:rsidRPr="00C43543" w:rsidRDefault="00123D75" w:rsidP="00FC3399">
      <w:pPr>
        <w:pStyle w:val="Heading3"/>
        <w:rPr>
          <w:rFonts w:ascii="Adobe Garamond Pro" w:hAnsi="Adobe Garamond Pro"/>
          <w14:ligatures w14:val="standardContextual"/>
        </w:rPr>
      </w:pPr>
      <w:bookmarkStart w:id="61" w:name="_Toc109728347"/>
      <w:r w:rsidRPr="00C43543">
        <w:rPr>
          <w:rFonts w:ascii="Adobe Garamond Pro" w:hAnsi="Adobe Garamond Pro"/>
          <w14:ligatures w14:val="standardContextual"/>
        </w:rPr>
        <w:t>Trial courts have “wide” discretion to admit expert testimony, and this Court reviews their admission decisions with significant deference.</w:t>
      </w:r>
      <w:bookmarkEnd w:id="61"/>
    </w:p>
    <w:p w14:paraId="4BD5E752" w14:textId="6A0F4A9C" w:rsidR="00123D75" w:rsidRPr="00C43543" w:rsidRDefault="00123D75" w:rsidP="00724FC3">
      <w:pPr>
        <w:pStyle w:val="BodyText"/>
        <w:rPr>
          <w:szCs w:val="28"/>
          <w14:ligatures w14:val="standardContextual"/>
        </w:rPr>
      </w:pPr>
      <w:r w:rsidRPr="00C43543">
        <w:rPr>
          <w:b/>
          <w:szCs w:val="28"/>
          <w14:ligatures w14:val="standardContextual"/>
        </w:rPr>
        <w:t xml:space="preserve">1. </w:t>
      </w:r>
      <w:r w:rsidRPr="00C43543">
        <w:rPr>
          <w:szCs w:val="28"/>
          <w14:ligatures w14:val="standardContextual"/>
        </w:rPr>
        <w:t xml:space="preserve">Rule of Evidence 702 governs the admissibility of expert evidence. “Expert testimony satisfies ER 702 if (1) the witness qualifies as an expert, and (2) the testimony will assist the trier of fact.” </w:t>
      </w:r>
      <w:r w:rsidRPr="00C43543">
        <w:rPr>
          <w:i/>
          <w:iCs/>
          <w:szCs w:val="28"/>
          <w14:ligatures w14:val="standardContextual"/>
        </w:rPr>
        <w:t xml:space="preserve">L.M. ex rel. </w:t>
      </w:r>
      <w:proofErr w:type="spellStart"/>
      <w:r w:rsidRPr="00C43543">
        <w:rPr>
          <w:i/>
          <w:iCs/>
          <w:szCs w:val="28"/>
          <w14:ligatures w14:val="standardContextual"/>
        </w:rPr>
        <w:t>Dussault</w:t>
      </w:r>
      <w:proofErr w:type="spellEnd"/>
      <w:r w:rsidRPr="00C43543">
        <w:rPr>
          <w:i/>
          <w:iCs/>
          <w:szCs w:val="28"/>
          <w14:ligatures w14:val="standardContextual"/>
        </w:rPr>
        <w:t xml:space="preserve"> v. Hamilton</w:t>
      </w:r>
      <w:r w:rsidRPr="00C43543">
        <w:rPr>
          <w:szCs w:val="28"/>
          <w14:ligatures w14:val="standardContextual"/>
        </w:rPr>
        <w:t>, 193 Wn.2d 113, 134, 436 P.3d 803 (2019)</w:t>
      </w:r>
      <w:r w:rsidR="0096608D" w:rsidRPr="00C43543">
        <w:rPr>
          <w:szCs w:val="28"/>
          <w14:ligatures w14:val="standardContextual"/>
        </w:rPr>
        <w:fldChar w:fldCharType="begin"/>
      </w:r>
      <w:r w:rsidR="0096608D" w:rsidRPr="00C43543">
        <w:rPr>
          <w:szCs w:val="28"/>
          <w14:ligatures w14:val="standardContextual"/>
        </w:rPr>
        <w:instrText xml:space="preserve"> TA \l </w:instrText>
      </w:r>
      <w:r w:rsidR="005F6C2B">
        <w:rPr>
          <w:szCs w:val="28"/>
          <w14:ligatures w14:val="standardContextual"/>
        </w:rPr>
        <w:instrText>“</w:instrText>
      </w:r>
      <w:r w:rsidR="0096608D" w:rsidRPr="00C43543">
        <w:rPr>
          <w:i/>
          <w:iCs/>
          <w:szCs w:val="28"/>
          <w14:ligatures w14:val="standardContextual"/>
        </w:rPr>
        <w:instrText>L.M. ex rel. Dussault v. Hamilton</w:instrText>
      </w:r>
      <w:r w:rsidR="0096608D" w:rsidRPr="00C43543">
        <w:rPr>
          <w:szCs w:val="28"/>
          <w14:ligatures w14:val="standardContextual"/>
        </w:rPr>
        <w:instrText>,</w:instrText>
      </w:r>
      <w:r w:rsidR="0096608D" w:rsidRPr="00C43543">
        <w:rPr>
          <w:szCs w:val="28"/>
          <w14:ligatures w14:val="standardContextual"/>
        </w:rPr>
        <w:br/>
        <w:instrText>193 Wn.2d 113, 436 P.3d 803 (2019)</w:instrText>
      </w:r>
      <w:r w:rsidR="005F6C2B">
        <w:rPr>
          <w:szCs w:val="28"/>
          <w14:ligatures w14:val="standardContextual"/>
        </w:rPr>
        <w:instrText>”</w:instrText>
      </w:r>
      <w:r w:rsidR="0096608D" w:rsidRPr="00C43543">
        <w:rPr>
          <w:szCs w:val="28"/>
          <w14:ligatures w14:val="standardContextual"/>
        </w:rPr>
        <w:instrText xml:space="preserve"> \s </w:instrText>
      </w:r>
      <w:r w:rsidR="005F6C2B">
        <w:rPr>
          <w:szCs w:val="28"/>
          <w14:ligatures w14:val="standardContextual"/>
        </w:rPr>
        <w:instrText>“</w:instrText>
      </w:r>
      <w:r w:rsidR="0096608D" w:rsidRPr="00C43543">
        <w:rPr>
          <w:szCs w:val="28"/>
          <w14:ligatures w14:val="standardContextual"/>
        </w:rPr>
        <w:instrText>Dussault v. Hamilton, 193 Wn.2d 113</w:instrText>
      </w:r>
      <w:r w:rsidR="005F6C2B">
        <w:rPr>
          <w:szCs w:val="28"/>
          <w14:ligatures w14:val="standardContextual"/>
        </w:rPr>
        <w:instrText>”</w:instrText>
      </w:r>
      <w:r w:rsidR="0096608D" w:rsidRPr="00C43543">
        <w:rPr>
          <w:szCs w:val="28"/>
          <w14:ligatures w14:val="standardContextual"/>
        </w:rPr>
        <w:instrText xml:space="preserve"> \c 1 </w:instrText>
      </w:r>
      <w:r w:rsidR="0096608D" w:rsidRPr="00C43543">
        <w:rPr>
          <w:szCs w:val="28"/>
          <w14:ligatures w14:val="standardContextual"/>
        </w:rPr>
        <w:fldChar w:fldCharType="end"/>
      </w:r>
      <w:r w:rsidRPr="00C43543">
        <w:rPr>
          <w:szCs w:val="28"/>
          <w14:ligatures w14:val="standardContextual"/>
        </w:rPr>
        <w:t xml:space="preserve">. In applying this test, </w:t>
      </w:r>
      <w:r w:rsidR="00724FC3" w:rsidRPr="00C43543">
        <w:rPr>
          <w:szCs w:val="28"/>
          <w14:ligatures w14:val="standardContextual"/>
        </w:rPr>
        <w:t>“</w:t>
      </w:r>
      <w:r w:rsidRPr="00C43543">
        <w:rPr>
          <w:szCs w:val="28"/>
          <w14:ligatures w14:val="standardContextual"/>
        </w:rPr>
        <w:t xml:space="preserve">trial courts are afforded wide discretion.” </w:t>
      </w:r>
      <w:r w:rsidRPr="00C43543">
        <w:rPr>
          <w:i/>
          <w:iCs/>
          <w:szCs w:val="28"/>
          <w14:ligatures w14:val="standardContextual"/>
        </w:rPr>
        <w:t>Johnston-Forbes</w:t>
      </w:r>
      <w:r w:rsidRPr="00C43543">
        <w:rPr>
          <w:szCs w:val="28"/>
          <w14:ligatures w14:val="standardContextual"/>
        </w:rPr>
        <w:t>, 181 Wn.2d at 352</w:t>
      </w:r>
      <w:r w:rsidR="0096608D" w:rsidRPr="00C43543">
        <w:rPr>
          <w:szCs w:val="28"/>
          <w14:ligatures w14:val="standardContextual"/>
        </w:rPr>
        <w:fldChar w:fldCharType="begin"/>
      </w:r>
      <w:r w:rsidR="0096608D" w:rsidRPr="00C43543">
        <w:rPr>
          <w:szCs w:val="28"/>
          <w14:ligatures w14:val="standardContextual"/>
        </w:rPr>
        <w:instrText xml:space="preserve"> TA \s </w:instrText>
      </w:r>
      <w:r w:rsidR="005F6C2B">
        <w:rPr>
          <w:szCs w:val="28"/>
          <w14:ligatures w14:val="standardContextual"/>
        </w:rPr>
        <w:instrText>“</w:instrText>
      </w:r>
      <w:r w:rsidR="0096608D" w:rsidRPr="00C43543">
        <w:rPr>
          <w:szCs w:val="28"/>
          <w14:ligatures w14:val="standardContextual"/>
        </w:rPr>
        <w:instrText>Johnston-Forbes, 181 Wn.2d 346</w:instrText>
      </w:r>
      <w:r w:rsidR="005F6C2B">
        <w:rPr>
          <w:szCs w:val="28"/>
          <w14:ligatures w14:val="standardContextual"/>
        </w:rPr>
        <w:instrText>”</w:instrText>
      </w:r>
      <w:r w:rsidR="0096608D" w:rsidRPr="00C43543">
        <w:rPr>
          <w:szCs w:val="28"/>
          <w14:ligatures w14:val="standardContextual"/>
        </w:rPr>
        <w:instrText xml:space="preserve"> </w:instrText>
      </w:r>
      <w:r w:rsidR="0096608D" w:rsidRPr="00C43543">
        <w:rPr>
          <w:szCs w:val="28"/>
          <w14:ligatures w14:val="standardContextual"/>
        </w:rPr>
        <w:fldChar w:fldCharType="end"/>
      </w:r>
      <w:r w:rsidRPr="00C43543">
        <w:rPr>
          <w:szCs w:val="28"/>
          <w14:ligatures w14:val="standardContextual"/>
        </w:rPr>
        <w:t xml:space="preserve">. </w:t>
      </w:r>
      <w:r w:rsidR="00724FC3" w:rsidRPr="00C43543">
        <w:rPr>
          <w:szCs w:val="28"/>
          <w14:ligatures w14:val="standardContextual"/>
        </w:rPr>
        <w:t xml:space="preserve">“To find abuse of discretion, a court must be convinced that no reasonable person would take the view adopted by the trial court.” </w:t>
      </w:r>
      <w:r w:rsidR="00724FC3" w:rsidRPr="00C43543">
        <w:rPr>
          <w:i/>
          <w:iCs/>
          <w:szCs w:val="28"/>
          <w14:ligatures w14:val="standardContextual"/>
        </w:rPr>
        <w:t>Hamilton</w:t>
      </w:r>
      <w:r w:rsidR="00724FC3" w:rsidRPr="00C43543">
        <w:rPr>
          <w:szCs w:val="28"/>
          <w14:ligatures w14:val="standardContextual"/>
        </w:rPr>
        <w:t>, 193 Wn.2d at 135</w:t>
      </w:r>
      <w:r w:rsidR="0096608D" w:rsidRPr="00C43543">
        <w:rPr>
          <w:szCs w:val="28"/>
          <w14:ligatures w14:val="standardContextual"/>
        </w:rPr>
        <w:fldChar w:fldCharType="begin"/>
      </w:r>
      <w:r w:rsidR="0096608D" w:rsidRPr="00C43543">
        <w:rPr>
          <w:szCs w:val="28"/>
          <w14:ligatures w14:val="standardContextual"/>
        </w:rPr>
        <w:instrText xml:space="preserve"> TA \s </w:instrText>
      </w:r>
      <w:r w:rsidR="005F6C2B">
        <w:rPr>
          <w:szCs w:val="28"/>
          <w14:ligatures w14:val="standardContextual"/>
        </w:rPr>
        <w:instrText>“</w:instrText>
      </w:r>
      <w:r w:rsidR="0096608D" w:rsidRPr="00C43543">
        <w:rPr>
          <w:szCs w:val="28"/>
          <w14:ligatures w14:val="standardContextual"/>
        </w:rPr>
        <w:instrText>Dussault v. Hamilton, 193 Wn.2d 113</w:instrText>
      </w:r>
      <w:r w:rsidR="005F6C2B">
        <w:rPr>
          <w:szCs w:val="28"/>
          <w14:ligatures w14:val="standardContextual"/>
        </w:rPr>
        <w:instrText>”</w:instrText>
      </w:r>
      <w:r w:rsidR="0096608D" w:rsidRPr="00C43543">
        <w:rPr>
          <w:szCs w:val="28"/>
          <w14:ligatures w14:val="standardContextual"/>
        </w:rPr>
        <w:instrText xml:space="preserve"> </w:instrText>
      </w:r>
      <w:r w:rsidR="0096608D" w:rsidRPr="00C43543">
        <w:rPr>
          <w:szCs w:val="28"/>
          <w14:ligatures w14:val="standardContextual"/>
        </w:rPr>
        <w:fldChar w:fldCharType="end"/>
      </w:r>
      <w:r w:rsidR="00724FC3" w:rsidRPr="00C43543">
        <w:rPr>
          <w:szCs w:val="28"/>
          <w14:ligatures w14:val="standardContextual"/>
        </w:rPr>
        <w:t>.</w:t>
      </w:r>
      <w:r w:rsidRPr="00C43543">
        <w:rPr>
          <w:szCs w:val="28"/>
          <w14:ligatures w14:val="standardContextual"/>
        </w:rPr>
        <w:t xml:space="preserve"> “A reviewing court may not hold that a trial court abused its discretion simply because it would have decided the case differently.” </w:t>
      </w:r>
      <w:r w:rsidR="00724FC3" w:rsidRPr="00C43543">
        <w:rPr>
          <w:i/>
          <w:iCs/>
          <w:szCs w:val="28"/>
          <w14:ligatures w14:val="standardContextual"/>
        </w:rPr>
        <w:t>Id.</w:t>
      </w:r>
      <w:r w:rsidR="00724FC3" w:rsidRPr="00C43543">
        <w:rPr>
          <w:szCs w:val="28"/>
          <w14:ligatures w14:val="standardContextual"/>
        </w:rPr>
        <w:t xml:space="preserve"> </w:t>
      </w:r>
      <w:r w:rsidRPr="00C43543">
        <w:rPr>
          <w:szCs w:val="28"/>
          <w14:ligatures w14:val="standardContextual"/>
        </w:rPr>
        <w:t>at 134-35</w:t>
      </w:r>
      <w:r w:rsidR="0096608D" w:rsidRPr="00C43543">
        <w:rPr>
          <w:szCs w:val="28"/>
          <w14:ligatures w14:val="standardContextual"/>
        </w:rPr>
        <w:fldChar w:fldCharType="begin"/>
      </w:r>
      <w:r w:rsidR="0096608D" w:rsidRPr="00C43543">
        <w:rPr>
          <w:szCs w:val="28"/>
          <w14:ligatures w14:val="standardContextual"/>
        </w:rPr>
        <w:instrText xml:space="preserve"> TA \s </w:instrText>
      </w:r>
      <w:r w:rsidR="005F6C2B">
        <w:rPr>
          <w:szCs w:val="28"/>
          <w14:ligatures w14:val="standardContextual"/>
        </w:rPr>
        <w:instrText>“</w:instrText>
      </w:r>
      <w:r w:rsidR="0096608D" w:rsidRPr="00C43543">
        <w:rPr>
          <w:szCs w:val="28"/>
          <w14:ligatures w14:val="standardContextual"/>
        </w:rPr>
        <w:instrText>Dussault v. Hamilton, 193 Wn.2d 113</w:instrText>
      </w:r>
      <w:r w:rsidR="005F6C2B">
        <w:rPr>
          <w:szCs w:val="28"/>
          <w14:ligatures w14:val="standardContextual"/>
        </w:rPr>
        <w:instrText>”</w:instrText>
      </w:r>
      <w:r w:rsidR="0096608D" w:rsidRPr="00C43543">
        <w:rPr>
          <w:szCs w:val="28"/>
          <w14:ligatures w14:val="standardContextual"/>
        </w:rPr>
        <w:instrText xml:space="preserve"> </w:instrText>
      </w:r>
      <w:r w:rsidR="0096608D" w:rsidRPr="00C43543">
        <w:rPr>
          <w:szCs w:val="28"/>
          <w14:ligatures w14:val="standardContextual"/>
        </w:rPr>
        <w:fldChar w:fldCharType="end"/>
      </w:r>
      <w:r w:rsidRPr="00C43543">
        <w:rPr>
          <w:szCs w:val="28"/>
          <w14:ligatures w14:val="standardContextual"/>
        </w:rPr>
        <w:t xml:space="preserve">. Rather, </w:t>
      </w:r>
      <w:r w:rsidR="005A75A2" w:rsidRPr="00C43543">
        <w:rPr>
          <w:szCs w:val="28"/>
          <w14:ligatures w14:val="standardContextual"/>
        </w:rPr>
        <w:t>s</w:t>
      </w:r>
      <w:r w:rsidRPr="00C43543">
        <w:rPr>
          <w:szCs w:val="28"/>
          <w14:ligatures w14:val="standardContextual"/>
        </w:rPr>
        <w:t xml:space="preserve">o long as the trial court’s “basis </w:t>
      </w:r>
      <w:r w:rsidRPr="00C43543">
        <w:rPr>
          <w:szCs w:val="28"/>
          <w14:ligatures w14:val="standardContextual"/>
        </w:rPr>
        <w:lastRenderedPageBreak/>
        <w:t xml:space="preserve">for admission of the evidence is ‘fairly debatable,’” a court should “not disturb the trial court’s ruling.” </w:t>
      </w:r>
      <w:r w:rsidRPr="00C43543">
        <w:rPr>
          <w:i/>
          <w:iCs/>
          <w:szCs w:val="28"/>
          <w14:ligatures w14:val="standardContextual"/>
        </w:rPr>
        <w:t>Id.</w:t>
      </w:r>
      <w:r w:rsidR="005F6C2B">
        <w:rPr>
          <w:szCs w:val="28"/>
          <w14:ligatures w14:val="standardContextual"/>
        </w:rPr>
        <w:t>at 135.</w:t>
      </w:r>
      <w:r w:rsidR="0096608D" w:rsidRPr="00C43543">
        <w:rPr>
          <w:i/>
          <w:iCs/>
          <w:szCs w:val="28"/>
          <w14:ligatures w14:val="standardContextual"/>
        </w:rPr>
        <w:fldChar w:fldCharType="begin"/>
      </w:r>
      <w:r w:rsidR="0096608D" w:rsidRPr="00C43543">
        <w:rPr>
          <w:szCs w:val="28"/>
          <w14:ligatures w14:val="standardContextual"/>
        </w:rPr>
        <w:instrText xml:space="preserve"> TA \s "Dussault v. Hamilton, 193 Wn.2d 113" </w:instrText>
      </w:r>
      <w:r w:rsidR="0096608D" w:rsidRPr="00C43543">
        <w:rPr>
          <w:i/>
          <w:iCs/>
          <w:szCs w:val="28"/>
          <w14:ligatures w14:val="standardContextual"/>
        </w:rPr>
        <w:fldChar w:fldCharType="end"/>
      </w:r>
    </w:p>
    <w:p w14:paraId="7DD0F4C8" w14:textId="536C710F" w:rsidR="008874F3" w:rsidRPr="00C43543" w:rsidRDefault="00197815" w:rsidP="00123D75">
      <w:pPr>
        <w:pStyle w:val="BodyText"/>
        <w:rPr>
          <w:szCs w:val="28"/>
          <w14:ligatures w14:val="standardContextual"/>
        </w:rPr>
      </w:pPr>
      <w:r w:rsidRPr="00C43543">
        <w:rPr>
          <w:b/>
          <w:szCs w:val="28"/>
          <w14:ligatures w14:val="standardContextual"/>
        </w:rPr>
        <w:t>2.</w:t>
      </w:r>
      <w:r w:rsidR="00265CDA" w:rsidRPr="00C43543">
        <w:rPr>
          <w:b/>
          <w:i/>
          <w:iCs/>
          <w:szCs w:val="28"/>
          <w14:ligatures w14:val="standardContextual"/>
        </w:rPr>
        <w:t xml:space="preserve"> </w:t>
      </w:r>
      <w:r w:rsidR="00123D75" w:rsidRPr="00C43543">
        <w:rPr>
          <w:szCs w:val="28"/>
          <w14:ligatures w14:val="standardContextual"/>
        </w:rPr>
        <w:t>Washington courts have also required expert evidence to satisfy the “general acceptance” test originally formulated in</w:t>
      </w:r>
      <w:r w:rsidR="00123D75" w:rsidRPr="00C43543">
        <w:rPr>
          <w:i/>
          <w:iCs/>
          <w:szCs w:val="28"/>
          <w14:ligatures w14:val="standardContextual"/>
        </w:rPr>
        <w:t xml:space="preserve"> Frye v. United States</w:t>
      </w:r>
      <w:r w:rsidR="00123D75" w:rsidRPr="00C43543">
        <w:rPr>
          <w:szCs w:val="28"/>
          <w14:ligatures w14:val="standardContextual"/>
        </w:rPr>
        <w:t>, 293 F. 1013 (D.C. Cir. 1923)</w:t>
      </w:r>
      <w:r w:rsidR="00C216E4" w:rsidRPr="00C43543">
        <w:rPr>
          <w:szCs w:val="28"/>
          <w14:ligatures w14:val="standardContextual"/>
        </w:rPr>
        <w:fldChar w:fldCharType="begin"/>
      </w:r>
      <w:r w:rsidR="00C216E4" w:rsidRPr="00C43543">
        <w:rPr>
          <w:szCs w:val="28"/>
          <w14:ligatures w14:val="standardContextual"/>
        </w:rPr>
        <w:instrText xml:space="preserve"> TA \l "</w:instrText>
      </w:r>
      <w:r w:rsidR="00C216E4" w:rsidRPr="00C43543">
        <w:rPr>
          <w:i/>
          <w:iCs/>
          <w:szCs w:val="28"/>
          <w14:ligatures w14:val="standardContextual"/>
        </w:rPr>
        <w:instrText>Frye v. United States</w:instrText>
      </w:r>
      <w:r w:rsidR="00C216E4" w:rsidRPr="00C43543">
        <w:rPr>
          <w:szCs w:val="28"/>
          <w14:ligatures w14:val="standardContextual"/>
        </w:rPr>
        <w:instrText>,</w:instrText>
      </w:r>
      <w:r w:rsidR="00C216E4" w:rsidRPr="00C43543">
        <w:rPr>
          <w:szCs w:val="28"/>
          <w14:ligatures w14:val="standardContextual"/>
        </w:rPr>
        <w:br/>
        <w:instrText xml:space="preserve">293 F. 1013 (D.C. Cir. 1923)" \s "Frye v. US, 293 F. 1013" \c 1 </w:instrText>
      </w:r>
      <w:r w:rsidR="00C216E4" w:rsidRPr="00C43543">
        <w:rPr>
          <w:szCs w:val="28"/>
          <w14:ligatures w14:val="standardContextual"/>
        </w:rPr>
        <w:fldChar w:fldCharType="end"/>
      </w:r>
      <w:r w:rsidR="00123D75" w:rsidRPr="00C43543">
        <w:rPr>
          <w:szCs w:val="28"/>
          <w14:ligatures w14:val="standardContextual"/>
        </w:rPr>
        <w:t xml:space="preserve">. </w:t>
      </w:r>
      <w:r w:rsidR="008874F3" w:rsidRPr="00C43543">
        <w:rPr>
          <w:szCs w:val="28"/>
          <w14:ligatures w14:val="standardContextual"/>
        </w:rPr>
        <w:t xml:space="preserve">It is unclear whether </w:t>
      </w:r>
      <w:r w:rsidR="008874F3" w:rsidRPr="00C43543">
        <w:rPr>
          <w:i/>
          <w:szCs w:val="28"/>
          <w14:ligatures w14:val="standardContextual"/>
        </w:rPr>
        <w:t>Frye</w:t>
      </w:r>
      <w:r w:rsidR="008874F3" w:rsidRPr="00C43543">
        <w:rPr>
          <w:iCs/>
          <w:szCs w:val="28"/>
          <w14:ligatures w14:val="standardContextual"/>
        </w:rPr>
        <w:t xml:space="preserve"> survives </w:t>
      </w:r>
      <w:r w:rsidR="008874F3" w:rsidRPr="00C43543">
        <w:rPr>
          <w:i/>
          <w:iCs/>
          <w:szCs w:val="28"/>
          <w14:ligatures w14:val="standardContextual"/>
        </w:rPr>
        <w:t>Daubert v. Merrell Dow Pharmaceuticals, Inc.</w:t>
      </w:r>
      <w:r w:rsidR="008874F3" w:rsidRPr="00C43543">
        <w:rPr>
          <w:szCs w:val="28"/>
          <w14:ligatures w14:val="standardContextual"/>
        </w:rPr>
        <w:t>, 509 U.S. 579 (1993)</w:t>
      </w:r>
      <w:r w:rsidR="009706D6" w:rsidRPr="00C43543">
        <w:rPr>
          <w:szCs w:val="28"/>
          <w14:ligatures w14:val="standardContextual"/>
        </w:rPr>
        <w:fldChar w:fldCharType="begin"/>
      </w:r>
      <w:r w:rsidR="009706D6" w:rsidRPr="00C43543">
        <w:rPr>
          <w:szCs w:val="28"/>
          <w14:ligatures w14:val="standardContextual"/>
        </w:rPr>
        <w:instrText xml:space="preserve"> TA \s "Daubert v. Merrell, 509 U.S. 579" </w:instrText>
      </w:r>
      <w:r w:rsidR="009706D6" w:rsidRPr="00C43543">
        <w:rPr>
          <w:szCs w:val="28"/>
          <w14:ligatures w14:val="standardContextual"/>
        </w:rPr>
        <w:fldChar w:fldCharType="end"/>
      </w:r>
      <w:r w:rsidR="008874F3" w:rsidRPr="00C43543">
        <w:rPr>
          <w:szCs w:val="28"/>
          <w14:ligatures w14:val="standardContextual"/>
        </w:rPr>
        <w:t>.</w:t>
      </w:r>
      <w:r w:rsidR="0016286E" w:rsidRPr="00C43543">
        <w:rPr>
          <w:szCs w:val="28"/>
          <w14:ligatures w14:val="standardContextual"/>
        </w:rPr>
        <w:t xml:space="preserve"> </w:t>
      </w:r>
      <w:r w:rsidR="008874F3" w:rsidRPr="00C43543">
        <w:rPr>
          <w:iCs/>
          <w:szCs w:val="28"/>
          <w14:ligatures w14:val="standardContextual"/>
        </w:rPr>
        <w:t>Although</w:t>
      </w:r>
      <w:r w:rsidR="008874F3" w:rsidRPr="00C43543">
        <w:rPr>
          <w:szCs w:val="28"/>
          <w14:ligatures w14:val="standardContextual"/>
        </w:rPr>
        <w:t xml:space="preserve"> the Washington Supreme Court held after </w:t>
      </w:r>
      <w:r w:rsidR="008874F3" w:rsidRPr="00C43543">
        <w:rPr>
          <w:i/>
          <w:iCs/>
          <w:szCs w:val="28"/>
          <w14:ligatures w14:val="standardContextual"/>
        </w:rPr>
        <w:t xml:space="preserve">Daubert </w:t>
      </w:r>
      <w:r w:rsidR="008874F3" w:rsidRPr="00C43543">
        <w:rPr>
          <w:szCs w:val="28"/>
          <w14:ligatures w14:val="standardContextual"/>
        </w:rPr>
        <w:t xml:space="preserve">that </w:t>
      </w:r>
      <w:r w:rsidR="008874F3" w:rsidRPr="00C43543">
        <w:rPr>
          <w:i/>
          <w:iCs/>
          <w:szCs w:val="28"/>
          <w14:ligatures w14:val="standardContextual"/>
        </w:rPr>
        <w:t>Frye</w:t>
      </w:r>
      <w:r w:rsidR="008874F3" w:rsidRPr="00C43543">
        <w:rPr>
          <w:szCs w:val="28"/>
          <w14:ligatures w14:val="standardContextual"/>
        </w:rPr>
        <w:t xml:space="preserve"> continues to apply in “criminal cases,” it never expressly “</w:t>
      </w:r>
      <w:proofErr w:type="spellStart"/>
      <w:r w:rsidR="008874F3" w:rsidRPr="00C43543">
        <w:rPr>
          <w:szCs w:val="28"/>
          <w14:ligatures w14:val="standardContextual"/>
        </w:rPr>
        <w:t>decid</w:t>
      </w:r>
      <w:proofErr w:type="spellEnd"/>
      <w:r w:rsidR="008874F3" w:rsidRPr="00C43543">
        <w:rPr>
          <w:szCs w:val="28"/>
          <w14:ligatures w14:val="standardContextual"/>
        </w:rPr>
        <w:t xml:space="preserve">[ed] that </w:t>
      </w:r>
      <w:r w:rsidR="008874F3" w:rsidRPr="00C43543">
        <w:rPr>
          <w:i/>
          <w:iCs/>
          <w:szCs w:val="28"/>
          <w14:ligatures w14:val="standardContextual"/>
        </w:rPr>
        <w:t>Frye</w:t>
      </w:r>
      <w:r w:rsidR="008874F3" w:rsidRPr="00C43543">
        <w:rPr>
          <w:szCs w:val="28"/>
          <w14:ligatures w14:val="standardContextual"/>
        </w:rPr>
        <w:t xml:space="preserve"> is the appropriate test for civil cases.” </w:t>
      </w:r>
      <w:r w:rsidR="008874F3" w:rsidRPr="00C43543">
        <w:rPr>
          <w:i/>
          <w:iCs/>
          <w:szCs w:val="28"/>
          <w14:ligatures w14:val="standardContextual"/>
        </w:rPr>
        <w:t>Anderson v. Akzo Nobel Coatings, Inc.</w:t>
      </w:r>
      <w:r w:rsidR="008874F3" w:rsidRPr="00C43543">
        <w:rPr>
          <w:szCs w:val="28"/>
          <w14:ligatures w14:val="standardContextual"/>
        </w:rPr>
        <w:t>, 172 Wn.2d 593, 601-02, 260 P.3d 857 (2011)</w:t>
      </w:r>
      <w:r w:rsidR="00C216E4" w:rsidRPr="00C43543">
        <w:rPr>
          <w:szCs w:val="28"/>
          <w14:ligatures w14:val="standardContextual"/>
        </w:rPr>
        <w:fldChar w:fldCharType="begin"/>
      </w:r>
      <w:r w:rsidR="00C216E4" w:rsidRPr="00C43543">
        <w:rPr>
          <w:szCs w:val="28"/>
          <w14:ligatures w14:val="standardContextual"/>
        </w:rPr>
        <w:instrText xml:space="preserve"> TA \l "</w:instrText>
      </w:r>
      <w:r w:rsidR="00C216E4" w:rsidRPr="00C43543">
        <w:rPr>
          <w:i/>
          <w:iCs/>
          <w:szCs w:val="28"/>
          <w14:ligatures w14:val="standardContextual"/>
        </w:rPr>
        <w:instrText>Anderson v. Akzo Nobel Coatings, Inc.</w:instrText>
      </w:r>
      <w:r w:rsidR="00C216E4" w:rsidRPr="00C43543">
        <w:rPr>
          <w:szCs w:val="28"/>
          <w14:ligatures w14:val="standardContextual"/>
        </w:rPr>
        <w:instrText>,</w:instrText>
      </w:r>
      <w:r w:rsidR="00C216E4" w:rsidRPr="00C43543">
        <w:rPr>
          <w:szCs w:val="28"/>
          <w14:ligatures w14:val="standardContextual"/>
        </w:rPr>
        <w:br/>
        <w:instrText xml:space="preserve">172 Wn.2d 593, 260 P.3d 857 (2011)" \s "Anderson v. Akzo, 172 Wn.2d 593" \c 1 </w:instrText>
      </w:r>
      <w:r w:rsidR="00C216E4" w:rsidRPr="00C43543">
        <w:rPr>
          <w:szCs w:val="28"/>
          <w14:ligatures w14:val="standardContextual"/>
        </w:rPr>
        <w:fldChar w:fldCharType="end"/>
      </w:r>
      <w:r w:rsidR="008874F3" w:rsidRPr="00C43543">
        <w:rPr>
          <w:szCs w:val="28"/>
          <w14:ligatures w14:val="standardContextual"/>
        </w:rPr>
        <w:t xml:space="preserve">. The plaintiffs preserve their right to argue that </w:t>
      </w:r>
      <w:r w:rsidR="008874F3" w:rsidRPr="00C43543">
        <w:rPr>
          <w:i/>
          <w:iCs/>
          <w:szCs w:val="28"/>
          <w14:ligatures w14:val="standardContextual"/>
        </w:rPr>
        <w:t>Daubert</w:t>
      </w:r>
      <w:r w:rsidR="008874F3" w:rsidRPr="00C43543">
        <w:rPr>
          <w:szCs w:val="28"/>
          <w14:ligatures w14:val="standardContextual"/>
        </w:rPr>
        <w:t xml:space="preserve"> should apply in civil cases. But, because the plaintiffs’ expert evidence was admissible regardless of the applicable standard, we assume for purposes of this brief that </w:t>
      </w:r>
      <w:r w:rsidR="008874F3" w:rsidRPr="00C43543">
        <w:rPr>
          <w:i/>
          <w:iCs/>
          <w:szCs w:val="28"/>
          <w14:ligatures w14:val="standardContextual"/>
        </w:rPr>
        <w:t>Frye</w:t>
      </w:r>
      <w:r w:rsidR="008874F3" w:rsidRPr="00C43543">
        <w:rPr>
          <w:szCs w:val="28"/>
          <w14:ligatures w14:val="standardContextual"/>
        </w:rPr>
        <w:t xml:space="preserve"> applies.</w:t>
      </w:r>
      <w:r w:rsidR="0016286E" w:rsidRPr="00C43543">
        <w:rPr>
          <w:rStyle w:val="FootnoteReference"/>
          <w:szCs w:val="28"/>
          <w14:ligatures w14:val="standardContextual"/>
        </w:rPr>
        <w:footnoteReference w:id="16"/>
      </w:r>
    </w:p>
    <w:p w14:paraId="68182268" w14:textId="3A34C02C" w:rsidR="00123D75" w:rsidRPr="00C43543" w:rsidRDefault="00123D75" w:rsidP="00123D75">
      <w:pPr>
        <w:pStyle w:val="BodyText"/>
        <w:rPr>
          <w:szCs w:val="28"/>
          <w14:ligatures w14:val="standardContextual"/>
        </w:rPr>
      </w:pPr>
      <w:r w:rsidRPr="00C43543">
        <w:rPr>
          <w:szCs w:val="28"/>
          <w14:ligatures w14:val="standardContextual"/>
        </w:rPr>
        <w:t>“</w:t>
      </w:r>
      <w:bookmarkStart w:id="62" w:name="OLE_LINK1"/>
      <w:bookmarkStart w:id="63" w:name="OLE_LINK2"/>
      <w:r w:rsidRPr="00C43543">
        <w:rPr>
          <w:szCs w:val="28"/>
          <w14:ligatures w14:val="standardContextual"/>
        </w:rPr>
        <w:t xml:space="preserve">Under </w:t>
      </w:r>
      <w:r w:rsidRPr="00C43543">
        <w:rPr>
          <w:i/>
          <w:iCs/>
          <w:szCs w:val="28"/>
          <w14:ligatures w14:val="standardContextual"/>
        </w:rPr>
        <w:t>Frye</w:t>
      </w:r>
      <w:r w:rsidRPr="00C43543">
        <w:rPr>
          <w:szCs w:val="28"/>
          <w14:ligatures w14:val="standardContextual"/>
        </w:rPr>
        <w:t>, the trial court must exclude evidence that is not based on generally accepted science,</w:t>
      </w:r>
      <w:bookmarkEnd w:id="62"/>
      <w:bookmarkEnd w:id="63"/>
      <w:r w:rsidRPr="00C43543">
        <w:rPr>
          <w:szCs w:val="28"/>
          <w14:ligatures w14:val="standardContextual"/>
        </w:rPr>
        <w:t xml:space="preserve">” and this Court reviews a </w:t>
      </w:r>
      <w:r w:rsidRPr="00C43543">
        <w:rPr>
          <w:i/>
          <w:iCs/>
          <w:szCs w:val="28"/>
          <w14:ligatures w14:val="standardContextual"/>
        </w:rPr>
        <w:t>Frye</w:t>
      </w:r>
      <w:r w:rsidRPr="00C43543">
        <w:rPr>
          <w:szCs w:val="28"/>
          <w14:ligatures w14:val="standardContextual"/>
        </w:rPr>
        <w:t xml:space="preserve"> ruling de novo. </w:t>
      </w:r>
      <w:r w:rsidRPr="00C43543">
        <w:rPr>
          <w:i/>
          <w:iCs/>
          <w:szCs w:val="28"/>
          <w14:ligatures w14:val="standardContextual"/>
        </w:rPr>
        <w:t>Hamilton</w:t>
      </w:r>
      <w:r w:rsidRPr="00C43543">
        <w:rPr>
          <w:szCs w:val="28"/>
          <w14:ligatures w14:val="standardContextual"/>
        </w:rPr>
        <w:t>, 193 Wn.2d at 117, 128</w:t>
      </w:r>
      <w:r w:rsidR="00C216E4" w:rsidRPr="00C43543">
        <w:rPr>
          <w:szCs w:val="28"/>
          <w14:ligatures w14:val="standardContextual"/>
        </w:rPr>
        <w:fldChar w:fldCharType="begin"/>
      </w:r>
      <w:r w:rsidR="00C216E4" w:rsidRPr="00C43543">
        <w:rPr>
          <w:szCs w:val="28"/>
          <w14:ligatures w14:val="standardContextual"/>
        </w:rPr>
        <w:instrText xml:space="preserve"> TA \s "Dussault v. Hamilton, 193 Wn.2d 113" </w:instrText>
      </w:r>
      <w:r w:rsidR="00C216E4" w:rsidRPr="00C43543">
        <w:rPr>
          <w:szCs w:val="28"/>
          <w14:ligatures w14:val="standardContextual"/>
        </w:rPr>
        <w:fldChar w:fldCharType="end"/>
      </w:r>
      <w:r w:rsidRPr="00C43543">
        <w:rPr>
          <w:szCs w:val="28"/>
          <w14:ligatures w14:val="standardContextual"/>
        </w:rPr>
        <w:t xml:space="preserve">. But “evidence that </w:t>
      </w:r>
      <w:r w:rsidRPr="00C43543">
        <w:rPr>
          <w:szCs w:val="28"/>
          <w14:ligatures w14:val="standardContextual"/>
        </w:rPr>
        <w:lastRenderedPageBreak/>
        <w:t xml:space="preserve">does not involve new methods of proof or new scientific principles is not subject to the </w:t>
      </w:r>
      <w:r w:rsidRPr="00C43543">
        <w:rPr>
          <w:i/>
          <w:iCs/>
          <w:szCs w:val="28"/>
          <w14:ligatures w14:val="standardContextual"/>
        </w:rPr>
        <w:t>Frye</w:t>
      </w:r>
      <w:r w:rsidRPr="00C43543">
        <w:rPr>
          <w:szCs w:val="28"/>
          <w14:ligatures w14:val="standardContextual"/>
        </w:rPr>
        <w:t xml:space="preserve"> test,” and so is reviewed under the typical abuse-of-discretion standard. </w:t>
      </w:r>
      <w:r w:rsidRPr="00C43543">
        <w:rPr>
          <w:i/>
          <w:iCs/>
          <w:szCs w:val="28"/>
          <w14:ligatures w14:val="standardContextual"/>
        </w:rPr>
        <w:t xml:space="preserve">State v. </w:t>
      </w:r>
      <w:proofErr w:type="spellStart"/>
      <w:r w:rsidRPr="00C43543">
        <w:rPr>
          <w:i/>
          <w:iCs/>
          <w:szCs w:val="28"/>
          <w14:ligatures w14:val="standardContextual"/>
        </w:rPr>
        <w:t>Baity</w:t>
      </w:r>
      <w:proofErr w:type="spellEnd"/>
      <w:r w:rsidRPr="00C43543">
        <w:rPr>
          <w:szCs w:val="28"/>
          <w14:ligatures w14:val="standardContextual"/>
        </w:rPr>
        <w:t>, 140 Wn.2d 1, 10, 991 P.2d 1151 (2000)</w:t>
      </w:r>
      <w:r w:rsidR="00EE6E18" w:rsidRPr="00C43543">
        <w:rPr>
          <w:szCs w:val="28"/>
          <w14:ligatures w14:val="standardContextual"/>
        </w:rPr>
        <w:fldChar w:fldCharType="begin"/>
      </w:r>
      <w:r w:rsidR="00EE6E18" w:rsidRPr="00C43543">
        <w:rPr>
          <w:szCs w:val="28"/>
          <w14:ligatures w14:val="standardContextual"/>
        </w:rPr>
        <w:instrText xml:space="preserve"> TA \l "</w:instrText>
      </w:r>
      <w:r w:rsidR="00EE6E18" w:rsidRPr="00C43543">
        <w:rPr>
          <w:i/>
          <w:iCs/>
          <w:szCs w:val="28"/>
          <w14:ligatures w14:val="standardContextual"/>
        </w:rPr>
        <w:instrText>State v. Baity</w:instrText>
      </w:r>
      <w:r w:rsidR="00EE6E18" w:rsidRPr="00C43543">
        <w:rPr>
          <w:szCs w:val="28"/>
          <w14:ligatures w14:val="standardContextual"/>
        </w:rPr>
        <w:instrText>,</w:instrText>
      </w:r>
      <w:r w:rsidR="00EE6E18" w:rsidRPr="00C43543">
        <w:rPr>
          <w:szCs w:val="28"/>
          <w14:ligatures w14:val="standardContextual"/>
        </w:rPr>
        <w:br/>
        <w:instrText xml:space="preserve">140 Wn.2d 1, 991 P.2d 1151 (2000)" \s "State v. Baity, 140 Wn.2d 1" \c 1 </w:instrText>
      </w:r>
      <w:r w:rsidR="00EE6E18" w:rsidRPr="00C43543">
        <w:rPr>
          <w:szCs w:val="28"/>
          <w14:ligatures w14:val="standardContextual"/>
        </w:rPr>
        <w:fldChar w:fldCharType="end"/>
      </w:r>
      <w:r w:rsidRPr="00C43543">
        <w:rPr>
          <w:szCs w:val="28"/>
          <w14:ligatures w14:val="standardContextual"/>
        </w:rPr>
        <w:t xml:space="preserve">. </w:t>
      </w:r>
    </w:p>
    <w:p w14:paraId="00ECE606" w14:textId="54389885" w:rsidR="00123D75" w:rsidRPr="00C43543" w:rsidRDefault="00123D75" w:rsidP="00123D75">
      <w:pPr>
        <w:pStyle w:val="BodyText"/>
        <w:rPr>
          <w:szCs w:val="28"/>
          <w14:ligatures w14:val="standardContextual"/>
        </w:rPr>
      </w:pPr>
      <w:r w:rsidRPr="00C43543">
        <w:rPr>
          <w:szCs w:val="28"/>
          <w14:ligatures w14:val="standardContextual"/>
        </w:rPr>
        <w:t>Critically, “</w:t>
      </w:r>
      <w:r w:rsidRPr="00C43543">
        <w:rPr>
          <w:i/>
          <w:iCs/>
          <w:szCs w:val="28"/>
          <w14:ligatures w14:val="standardContextual"/>
        </w:rPr>
        <w:t>Frye</w:t>
      </w:r>
      <w:r w:rsidRPr="00C43543">
        <w:rPr>
          <w:szCs w:val="28"/>
          <w14:ligatures w14:val="standardContextual"/>
        </w:rPr>
        <w:t xml:space="preserve"> requires only general acceptance, not full acceptance, of novel scientific methods.” </w:t>
      </w:r>
      <w:r w:rsidRPr="00C43543">
        <w:rPr>
          <w:i/>
          <w:iCs/>
          <w:szCs w:val="28"/>
          <w14:ligatures w14:val="standardContextual"/>
        </w:rPr>
        <w:t>State v. Russell</w:t>
      </w:r>
      <w:r w:rsidRPr="00C43543">
        <w:rPr>
          <w:szCs w:val="28"/>
          <w14:ligatures w14:val="standardContextual"/>
        </w:rPr>
        <w:t>, 125 Wn.2d 24, 41, 882 P.2d 747 (1994)</w:t>
      </w:r>
      <w:r w:rsidR="00EE6E18" w:rsidRPr="00C43543">
        <w:rPr>
          <w:szCs w:val="28"/>
          <w14:ligatures w14:val="standardContextual"/>
        </w:rPr>
        <w:fldChar w:fldCharType="begin"/>
      </w:r>
      <w:r w:rsidR="00EE6E18" w:rsidRPr="00C43543">
        <w:rPr>
          <w:szCs w:val="28"/>
          <w14:ligatures w14:val="standardContextual"/>
        </w:rPr>
        <w:instrText xml:space="preserve"> TA \l "</w:instrText>
      </w:r>
      <w:r w:rsidR="00EE6E18" w:rsidRPr="00C43543">
        <w:rPr>
          <w:i/>
          <w:iCs/>
          <w:szCs w:val="28"/>
          <w14:ligatures w14:val="standardContextual"/>
        </w:rPr>
        <w:instrText>State v. Russell</w:instrText>
      </w:r>
      <w:r w:rsidR="00EE6E18" w:rsidRPr="00C43543">
        <w:rPr>
          <w:szCs w:val="28"/>
          <w14:ligatures w14:val="standardContextual"/>
        </w:rPr>
        <w:instrText>,</w:instrText>
      </w:r>
      <w:r w:rsidR="00EE6E18" w:rsidRPr="00C43543">
        <w:rPr>
          <w:szCs w:val="28"/>
          <w14:ligatures w14:val="standardContextual"/>
        </w:rPr>
        <w:br/>
        <w:instrText xml:space="preserve">125 Wn.2d 24, 882 P.2d 747 (1994)" \s "State v. Russell, 125 Wn.2d 24" \c 1 </w:instrText>
      </w:r>
      <w:r w:rsidR="00EE6E18" w:rsidRPr="00C43543">
        <w:rPr>
          <w:szCs w:val="28"/>
          <w14:ligatures w14:val="standardContextual"/>
        </w:rPr>
        <w:fldChar w:fldCharType="end"/>
      </w:r>
      <w:r w:rsidRPr="00C43543">
        <w:rPr>
          <w:szCs w:val="28"/>
          <w14:ligatures w14:val="standardContextual"/>
        </w:rPr>
        <w:t>. And “[w]</w:t>
      </w:r>
      <w:proofErr w:type="spellStart"/>
      <w:r w:rsidRPr="00C43543">
        <w:rPr>
          <w:szCs w:val="28"/>
          <w14:ligatures w14:val="standardContextual"/>
        </w:rPr>
        <w:t>hile</w:t>
      </w:r>
      <w:proofErr w:type="spellEnd"/>
      <w:r w:rsidRPr="00C43543">
        <w:rPr>
          <w:szCs w:val="28"/>
          <w14:ligatures w14:val="standardContextual"/>
        </w:rPr>
        <w:t xml:space="preserve"> </w:t>
      </w:r>
      <w:r w:rsidRPr="00C43543">
        <w:rPr>
          <w:i/>
          <w:iCs/>
          <w:szCs w:val="28"/>
          <w14:ligatures w14:val="standardContextual"/>
        </w:rPr>
        <w:t>Frye</w:t>
      </w:r>
      <w:r w:rsidRPr="00C43543">
        <w:rPr>
          <w:szCs w:val="28"/>
          <w14:ligatures w14:val="standardContextual"/>
        </w:rPr>
        <w:t xml:space="preserve"> governs the admissibility of novel scientific testimony, the application of accepted techniques to reach novel conclusions does not raise </w:t>
      </w:r>
      <w:r w:rsidRPr="00C43543">
        <w:rPr>
          <w:i/>
          <w:iCs/>
          <w:szCs w:val="28"/>
          <w14:ligatures w14:val="standardContextual"/>
        </w:rPr>
        <w:t>Frye</w:t>
      </w:r>
      <w:r w:rsidRPr="00C43543">
        <w:rPr>
          <w:szCs w:val="28"/>
          <w14:ligatures w14:val="standardContextual"/>
        </w:rPr>
        <w:t xml:space="preserve"> concerns.” </w:t>
      </w:r>
      <w:proofErr w:type="spellStart"/>
      <w:r w:rsidRPr="00C43543">
        <w:rPr>
          <w:i/>
          <w:iCs/>
          <w:szCs w:val="28"/>
          <w14:ligatures w14:val="standardContextual"/>
        </w:rPr>
        <w:t>Lakey</w:t>
      </w:r>
      <w:proofErr w:type="spellEnd"/>
      <w:r w:rsidRPr="00C43543">
        <w:rPr>
          <w:i/>
          <w:iCs/>
          <w:szCs w:val="28"/>
          <w14:ligatures w14:val="standardContextual"/>
        </w:rPr>
        <w:t xml:space="preserve"> v. Puget Sound Energy, Inc.</w:t>
      </w:r>
      <w:r w:rsidRPr="00C43543">
        <w:rPr>
          <w:szCs w:val="28"/>
          <w14:ligatures w14:val="standardContextual"/>
        </w:rPr>
        <w:t>, 176 Wn.2d 909, 919, 296 P.3d 860 (2013)</w:t>
      </w:r>
      <w:r w:rsidR="00EE6E18" w:rsidRPr="00C43543">
        <w:rPr>
          <w:szCs w:val="28"/>
          <w14:ligatures w14:val="standardContextual"/>
        </w:rPr>
        <w:fldChar w:fldCharType="begin"/>
      </w:r>
      <w:r w:rsidR="00EE6E18" w:rsidRPr="00C43543">
        <w:rPr>
          <w:szCs w:val="28"/>
          <w14:ligatures w14:val="standardContextual"/>
        </w:rPr>
        <w:instrText xml:space="preserve"> TA \l "</w:instrText>
      </w:r>
      <w:r w:rsidR="00EE6E18" w:rsidRPr="00C43543">
        <w:rPr>
          <w:i/>
          <w:iCs/>
          <w:szCs w:val="28"/>
          <w14:ligatures w14:val="standardContextual"/>
        </w:rPr>
        <w:instrText>Lakey v. Puget Sound Energy, Inc.</w:instrText>
      </w:r>
      <w:r w:rsidR="00EE6E18" w:rsidRPr="00C43543">
        <w:rPr>
          <w:szCs w:val="28"/>
          <w14:ligatures w14:val="standardContextual"/>
        </w:rPr>
        <w:instrText>,</w:instrText>
      </w:r>
      <w:r w:rsidR="00EE6E18" w:rsidRPr="00C43543">
        <w:rPr>
          <w:szCs w:val="28"/>
          <w14:ligatures w14:val="standardContextual"/>
        </w:rPr>
        <w:br/>
        <w:instrText xml:space="preserve">176 Wn.2d 909, 296 P.3d 860 (2013)" \s "Lakey v. Puget Sound, 176 Wn.2d 909" \c 1 </w:instrText>
      </w:r>
      <w:r w:rsidR="00EE6E18" w:rsidRPr="00C43543">
        <w:rPr>
          <w:szCs w:val="28"/>
          <w14:ligatures w14:val="standardContextual"/>
        </w:rPr>
        <w:fldChar w:fldCharType="end"/>
      </w:r>
      <w:r w:rsidR="00724FC3" w:rsidRPr="00C43543">
        <w:rPr>
          <w:szCs w:val="28"/>
          <w14:ligatures w14:val="standardContextual"/>
        </w:rPr>
        <w:t xml:space="preserve">. “Once a methodology is accepted in the scientific community, then application of the science to a particular case is a matter of weight and admissibility under ER 702.” </w:t>
      </w:r>
      <w:r w:rsidRPr="00C43543">
        <w:rPr>
          <w:i/>
          <w:iCs/>
          <w:szCs w:val="28"/>
          <w14:ligatures w14:val="standardContextual"/>
        </w:rPr>
        <w:t>Anderson</w:t>
      </w:r>
      <w:r w:rsidRPr="00C43543">
        <w:rPr>
          <w:szCs w:val="28"/>
          <w14:ligatures w14:val="standardContextual"/>
        </w:rPr>
        <w:t xml:space="preserve">, 172 Wn.2d </w:t>
      </w:r>
      <w:r w:rsidR="008874F3" w:rsidRPr="00C43543">
        <w:rPr>
          <w:szCs w:val="28"/>
          <w14:ligatures w14:val="standardContextual"/>
        </w:rPr>
        <w:t>at</w:t>
      </w:r>
      <w:r w:rsidRPr="00C43543">
        <w:rPr>
          <w:szCs w:val="28"/>
          <w14:ligatures w14:val="standardContextual"/>
        </w:rPr>
        <w:t xml:space="preserve"> 603</w:t>
      </w:r>
      <w:r w:rsidR="00724FC3" w:rsidRPr="00C43543">
        <w:rPr>
          <w:szCs w:val="28"/>
          <w14:ligatures w14:val="standardContextual"/>
        </w:rPr>
        <w:t>.</w:t>
      </w:r>
      <w:r w:rsidR="007519CB" w:rsidRPr="00C43543">
        <w:rPr>
          <w:szCs w:val="28"/>
          <w14:ligatures w14:val="standardContextual"/>
        </w:rPr>
        <w:fldChar w:fldCharType="begin"/>
      </w:r>
      <w:r w:rsidR="007519CB" w:rsidRPr="00C43543">
        <w:rPr>
          <w:szCs w:val="28"/>
          <w14:ligatures w14:val="standardContextual"/>
        </w:rPr>
        <w:instrText xml:space="preserve"> TA \s "Anderson v. Akzo, 172 Wn.2d 593" </w:instrText>
      </w:r>
      <w:r w:rsidR="007519CB" w:rsidRPr="00C43543">
        <w:rPr>
          <w:szCs w:val="28"/>
          <w14:ligatures w14:val="standardContextual"/>
        </w:rPr>
        <w:fldChar w:fldCharType="end"/>
      </w:r>
    </w:p>
    <w:p w14:paraId="2B790247" w14:textId="6F97CB09" w:rsidR="00123D75" w:rsidRPr="00C43543" w:rsidRDefault="00123D75" w:rsidP="00FC3399">
      <w:pPr>
        <w:pStyle w:val="Heading3"/>
        <w:rPr>
          <w:rFonts w:ascii="Adobe Garamond Pro" w:hAnsi="Adobe Garamond Pro"/>
          <w14:ligatures w14:val="standardContextual"/>
        </w:rPr>
      </w:pPr>
      <w:bookmarkStart w:id="64" w:name="_Toc109728348"/>
      <w:r w:rsidRPr="00C43543">
        <w:rPr>
          <w:rFonts w:ascii="Adobe Garamond Pro" w:hAnsi="Adobe Garamond Pro"/>
          <w14:ligatures w14:val="standardContextual"/>
        </w:rPr>
        <w:t xml:space="preserve">The </w:t>
      </w:r>
      <w:r w:rsidR="00D355C4" w:rsidRPr="00C43543">
        <w:rPr>
          <w:rFonts w:ascii="Adobe Garamond Pro" w:hAnsi="Adobe Garamond Pro"/>
          <w14:ligatures w14:val="standardContextual"/>
        </w:rPr>
        <w:t>trial</w:t>
      </w:r>
      <w:r w:rsidRPr="00C43543">
        <w:rPr>
          <w:rFonts w:ascii="Adobe Garamond Pro" w:hAnsi="Adobe Garamond Pro"/>
          <w14:ligatures w14:val="standardContextual"/>
        </w:rPr>
        <w:t xml:space="preserve"> court did not abuse its discretion in admitting Dr. Dahlgren’s opinion that </w:t>
      </w:r>
      <w:r w:rsidR="00A76E52" w:rsidRPr="00C43543">
        <w:rPr>
          <w:rFonts w:ascii="Adobe Garamond Pro" w:hAnsi="Adobe Garamond Pro"/>
          <w14:ligatures w14:val="standardContextual"/>
        </w:rPr>
        <w:t xml:space="preserve">PCB exposure caused </w:t>
      </w:r>
      <w:r w:rsidRPr="00C43543">
        <w:rPr>
          <w:rFonts w:ascii="Adobe Garamond Pro" w:hAnsi="Adobe Garamond Pro"/>
          <w14:ligatures w14:val="standardContextual"/>
        </w:rPr>
        <w:t>the plaintiffs’ brain damage</w:t>
      </w:r>
      <w:r w:rsidR="00A76E52" w:rsidRPr="00C43543">
        <w:rPr>
          <w:rFonts w:ascii="Adobe Garamond Pro" w:hAnsi="Adobe Garamond Pro"/>
          <w14:ligatures w14:val="standardContextual"/>
        </w:rPr>
        <w:t>.</w:t>
      </w:r>
      <w:bookmarkEnd w:id="64"/>
    </w:p>
    <w:p w14:paraId="5C592C0E" w14:textId="77777777" w:rsidR="00123D75" w:rsidRPr="00C43543" w:rsidRDefault="00123D75" w:rsidP="00123D75">
      <w:pPr>
        <w:pStyle w:val="BodyText"/>
        <w:rPr>
          <w:szCs w:val="28"/>
          <w14:ligatures w14:val="standardContextual"/>
        </w:rPr>
      </w:pPr>
      <w:r w:rsidRPr="00C43543">
        <w:rPr>
          <w:szCs w:val="28"/>
          <w14:ligatures w14:val="standardContextual"/>
        </w:rPr>
        <w:t xml:space="preserve">Dr. James Dahlgren, a physician and researcher with decades of experience in treating patients suffering from PCB exposure, testified that the plaintiffs were “systematically poisoned” by PCBs and furans during the period they taught at Sky Valley. Tr. 2246. He </w:t>
      </w:r>
      <w:r w:rsidRPr="00C43543">
        <w:rPr>
          <w:szCs w:val="28"/>
          <w14:ligatures w14:val="standardContextual"/>
        </w:rPr>
        <w:lastRenderedPageBreak/>
        <w:t xml:space="preserve">also determined that all plaintiffs suffered brain damage and other injuries </w:t>
      </w:r>
      <w:proofErr w:type="gramStart"/>
      <w:r w:rsidRPr="00C43543">
        <w:rPr>
          <w:szCs w:val="28"/>
          <w14:ligatures w14:val="standardContextual"/>
        </w:rPr>
        <w:t>as a result of</w:t>
      </w:r>
      <w:proofErr w:type="gramEnd"/>
      <w:r w:rsidRPr="00C43543">
        <w:rPr>
          <w:szCs w:val="28"/>
          <w14:ligatures w14:val="standardContextual"/>
        </w:rPr>
        <w:t xml:space="preserve"> this exposure. </w:t>
      </w:r>
      <w:r w:rsidRPr="00C43543">
        <w:rPr>
          <w:i/>
          <w:iCs/>
          <w:szCs w:val="28"/>
          <w14:ligatures w14:val="standardContextual"/>
        </w:rPr>
        <w:t xml:space="preserve">See </w:t>
      </w:r>
      <w:r w:rsidRPr="00C43543">
        <w:rPr>
          <w:szCs w:val="28"/>
          <w14:ligatures w14:val="standardContextual"/>
        </w:rPr>
        <w:t>Tr. 2247-49. The court did not abuse its discretion in admitting Dr. Dahlgren’s testimony.</w:t>
      </w:r>
      <w:r w:rsidRPr="00C43543">
        <w:rPr>
          <w:rStyle w:val="FootnoteReference"/>
          <w:szCs w:val="28"/>
          <w14:ligatures w14:val="standardContextual"/>
        </w:rPr>
        <w:footnoteReference w:id="17"/>
      </w:r>
    </w:p>
    <w:p w14:paraId="63FBF781" w14:textId="77777777" w:rsidR="00123D75" w:rsidRPr="00C43543" w:rsidRDefault="00123D75" w:rsidP="00FC3399">
      <w:pPr>
        <w:pStyle w:val="Heading4"/>
        <w:numPr>
          <w:ilvl w:val="0"/>
          <w:numId w:val="57"/>
        </w:numPr>
        <w:rPr>
          <w:rFonts w:ascii="Adobe Garamond Pro" w:hAnsi="Adobe Garamond Pro"/>
          <w14:ligatures w14:val="standardContextual"/>
        </w:rPr>
      </w:pPr>
      <w:bookmarkStart w:id="65" w:name="_Toc109728349"/>
      <w:r w:rsidRPr="00C43543">
        <w:rPr>
          <w:rFonts w:ascii="Adobe Garamond Pro" w:hAnsi="Adobe Garamond Pro"/>
          <w14:ligatures w14:val="standardContextual"/>
        </w:rPr>
        <w:t>Dr. Dahlgren is well qualified.</w:t>
      </w:r>
      <w:bookmarkEnd w:id="65"/>
    </w:p>
    <w:p w14:paraId="5452ECEC" w14:textId="77DC516A" w:rsidR="00123D75" w:rsidRPr="00C43543" w:rsidRDefault="00123D75" w:rsidP="00123D75">
      <w:pPr>
        <w:pStyle w:val="BodyText"/>
        <w:rPr>
          <w:szCs w:val="28"/>
          <w14:ligatures w14:val="standardContextual"/>
        </w:rPr>
      </w:pPr>
      <w:r w:rsidRPr="00C43543">
        <w:rPr>
          <w:szCs w:val="28"/>
          <w14:ligatures w14:val="standardContextual"/>
        </w:rPr>
        <w:t xml:space="preserve">Initially, Monsanto contends (at 120-21) that Dr. Dahlgren is unqualified to testify </w:t>
      </w:r>
      <w:r w:rsidRPr="00C43543">
        <w:rPr>
          <w:i/>
          <w:iCs/>
          <w:szCs w:val="28"/>
          <w14:ligatures w14:val="standardContextual"/>
        </w:rPr>
        <w:t>at all</w:t>
      </w:r>
      <w:r w:rsidRPr="00C43543">
        <w:rPr>
          <w:szCs w:val="28"/>
          <w14:ligatures w14:val="standardContextual"/>
        </w:rPr>
        <w:t xml:space="preserve"> on the plaintiffs’ injuries and the cause of those injuries. That borders on absurd. Dr. Dahlgren is a UCSF-trained physician who taught as a professor at UCLA Medical School for decades. </w:t>
      </w:r>
      <w:r w:rsidR="00A76E52" w:rsidRPr="00C43543">
        <w:rPr>
          <w:szCs w:val="28"/>
          <w14:ligatures w14:val="standardContextual"/>
        </w:rPr>
        <w:t>He specializes in toxicology and, for more than 25 years, has treated patients exposed to PCBs. CP 7281-82; Tr. 2239-45. In addition, he has published more than 30 peer-reviewed studies on toxic exposure</w:t>
      </w:r>
      <w:r w:rsidR="005F6C2B">
        <w:rPr>
          <w:szCs w:val="28"/>
          <w14:ligatures w14:val="standardContextual"/>
        </w:rPr>
        <w:t>,</w:t>
      </w:r>
      <w:r w:rsidR="00A76E52" w:rsidRPr="00C43543">
        <w:rPr>
          <w:szCs w:val="28"/>
          <w14:ligatures w14:val="standardContextual"/>
        </w:rPr>
        <w:t xml:space="preserve"> edited a book covering PCBs; and even founded a toxicology lab to measure PCBs in patients. </w:t>
      </w:r>
      <w:r w:rsidR="00A76E52" w:rsidRPr="00C43543">
        <w:rPr>
          <w:i/>
          <w:iCs/>
          <w:szCs w:val="28"/>
          <w14:ligatures w14:val="standardContextual"/>
        </w:rPr>
        <w:t xml:space="preserve">See id. </w:t>
      </w:r>
      <w:proofErr w:type="gramStart"/>
      <w:r w:rsidRPr="00C43543">
        <w:rPr>
          <w:szCs w:val="28"/>
          <w14:ligatures w14:val="standardContextual"/>
        </w:rPr>
        <w:t>So</w:t>
      </w:r>
      <w:proofErr w:type="gramEnd"/>
      <w:r w:rsidRPr="00C43543">
        <w:rPr>
          <w:szCs w:val="28"/>
          <w14:ligatures w14:val="standardContextual"/>
        </w:rPr>
        <w:t xml:space="preserve"> the trial court easily concluded that Dr. Dahlgren is a “well-qualified medical doctor with experience in toxicology generally and exposure to PCBs specifically.” CP 16895.</w:t>
      </w:r>
    </w:p>
    <w:p w14:paraId="0C580A81" w14:textId="2FD9C2C3" w:rsidR="00123D75" w:rsidRPr="00C43543" w:rsidRDefault="00123D75" w:rsidP="00123D75">
      <w:pPr>
        <w:pStyle w:val="BodyText"/>
        <w:rPr>
          <w:szCs w:val="28"/>
          <w14:ligatures w14:val="standardContextual"/>
        </w:rPr>
      </w:pPr>
      <w:r w:rsidRPr="00C43543">
        <w:rPr>
          <w:szCs w:val="28"/>
          <w14:ligatures w14:val="standardContextual"/>
        </w:rPr>
        <w:t xml:space="preserve">Nevertheless, Monsanto contends (at 123-24) that Dr. Dahlgren still shouldn’t have been permitted to testify about the </w:t>
      </w:r>
      <w:r w:rsidRPr="00C43543">
        <w:rPr>
          <w:szCs w:val="28"/>
          <w14:ligatures w14:val="standardContextual"/>
        </w:rPr>
        <w:lastRenderedPageBreak/>
        <w:t xml:space="preserve">plaintiffs’ brain injuries because he isn’t a neuropsychologist or neurologist. Wrong. </w:t>
      </w:r>
      <w:r w:rsidRPr="00C43543">
        <w:rPr>
          <w:i/>
          <w:iCs/>
          <w:szCs w:val="28"/>
          <w14:ligatures w14:val="standardContextual"/>
        </w:rPr>
        <w:t xml:space="preserve">See </w:t>
      </w:r>
      <w:r w:rsidR="007C48D0" w:rsidRPr="00C43543">
        <w:rPr>
          <w:szCs w:val="28"/>
          <w14:ligatures w14:val="standardContextual"/>
        </w:rPr>
        <w:t>ER 702 (an expert may qualify “by knowledge, skill, experience, training, or education”).</w:t>
      </w:r>
      <w:r w:rsidRPr="00C43543">
        <w:rPr>
          <w:szCs w:val="28"/>
          <w14:ligatures w14:val="standardContextual"/>
        </w:rPr>
        <w:t xml:space="preserve"> Dr. Dahlgren </w:t>
      </w:r>
      <w:r w:rsidR="00A76E52" w:rsidRPr="00C43543">
        <w:rPr>
          <w:szCs w:val="28"/>
          <w14:ligatures w14:val="standardContextual"/>
        </w:rPr>
        <w:t xml:space="preserve">indisputably </w:t>
      </w:r>
      <w:r w:rsidRPr="00C43543">
        <w:rPr>
          <w:szCs w:val="28"/>
          <w14:ligatures w14:val="standardContextual"/>
        </w:rPr>
        <w:t xml:space="preserve">has considerable </w:t>
      </w:r>
      <w:r w:rsidR="005A75A2" w:rsidRPr="00C43543">
        <w:rPr>
          <w:szCs w:val="28"/>
          <w14:ligatures w14:val="standardContextual"/>
        </w:rPr>
        <w:t xml:space="preserve">experience and </w:t>
      </w:r>
      <w:r w:rsidRPr="00C43543">
        <w:rPr>
          <w:szCs w:val="28"/>
          <w14:ligatures w14:val="standardContextual"/>
        </w:rPr>
        <w:t xml:space="preserve">knowledge </w:t>
      </w:r>
      <w:r w:rsidR="005A75A2" w:rsidRPr="00C43543">
        <w:rPr>
          <w:szCs w:val="28"/>
          <w14:ligatures w14:val="standardContextual"/>
        </w:rPr>
        <w:t xml:space="preserve">of </w:t>
      </w:r>
      <w:r w:rsidRPr="00C43543">
        <w:rPr>
          <w:szCs w:val="28"/>
          <w14:ligatures w14:val="standardContextual"/>
        </w:rPr>
        <w:t xml:space="preserve">how and why toxic substances in general—and PCBs in particular—cause injuries, including brain damage. </w:t>
      </w:r>
      <w:r w:rsidRPr="00C43543">
        <w:rPr>
          <w:i/>
          <w:iCs/>
          <w:szCs w:val="28"/>
          <w14:ligatures w14:val="standardContextual"/>
        </w:rPr>
        <w:t xml:space="preserve">See </w:t>
      </w:r>
      <w:r w:rsidRPr="00C43543">
        <w:rPr>
          <w:szCs w:val="28"/>
          <w14:ligatures w14:val="standardContextual"/>
        </w:rPr>
        <w:t xml:space="preserve">CP 7287-88 (describing the various bases for his “own opinion of the plaintiffs’ central nervous system function”). </w:t>
      </w:r>
    </w:p>
    <w:p w14:paraId="2897B881" w14:textId="1DA41D1A" w:rsidR="00123D75" w:rsidRPr="00C43543" w:rsidRDefault="00123D75" w:rsidP="00123D75">
      <w:pPr>
        <w:pStyle w:val="BodyText"/>
        <w:rPr>
          <w:szCs w:val="28"/>
          <w14:ligatures w14:val="standardContextual"/>
        </w:rPr>
      </w:pPr>
      <w:r w:rsidRPr="00C43543">
        <w:rPr>
          <w:szCs w:val="28"/>
          <w14:ligatures w14:val="standardContextual"/>
        </w:rPr>
        <w:t xml:space="preserve">The fact that Dr. Dahlgren didn’t conduct a physical examination of the plaintiffs is also irrelevant to admissibility—it simply goes “to the testimony’s weight.” </w:t>
      </w:r>
      <w:proofErr w:type="spellStart"/>
      <w:r w:rsidRPr="00C43543">
        <w:rPr>
          <w:i/>
          <w:iCs/>
          <w:szCs w:val="28"/>
          <w14:ligatures w14:val="standardContextual"/>
        </w:rPr>
        <w:t>Katare</w:t>
      </w:r>
      <w:proofErr w:type="spellEnd"/>
      <w:r w:rsidRPr="00C43543">
        <w:rPr>
          <w:szCs w:val="28"/>
          <w14:ligatures w14:val="standardContextual"/>
        </w:rPr>
        <w:t>, 175 Wn.2d at 39</w:t>
      </w:r>
      <w:r w:rsidR="007519CB" w:rsidRPr="00C43543">
        <w:rPr>
          <w:szCs w:val="28"/>
          <w14:ligatures w14:val="standardContextual"/>
        </w:rPr>
        <w:fldChar w:fldCharType="begin"/>
      </w:r>
      <w:r w:rsidR="007519CB" w:rsidRPr="00C43543">
        <w:rPr>
          <w:szCs w:val="28"/>
          <w14:ligatures w14:val="standardContextual"/>
        </w:rPr>
        <w:instrText xml:space="preserve"> TA \s "Katare v. Katare, 175 Wn.2d 23" </w:instrText>
      </w:r>
      <w:r w:rsidR="007519CB"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 xml:space="preserve">see City of Bellevue v. </w:t>
      </w:r>
      <w:proofErr w:type="spellStart"/>
      <w:r w:rsidRPr="00C43543">
        <w:rPr>
          <w:i/>
          <w:iCs/>
          <w:szCs w:val="28"/>
          <w14:ligatures w14:val="standardContextual"/>
        </w:rPr>
        <w:t>Raum</w:t>
      </w:r>
      <w:proofErr w:type="spellEnd"/>
      <w:r w:rsidRPr="00C43543">
        <w:rPr>
          <w:szCs w:val="28"/>
          <w14:ligatures w14:val="standardContextual"/>
        </w:rPr>
        <w:t xml:space="preserve">, 171 </w:t>
      </w:r>
      <w:proofErr w:type="spellStart"/>
      <w:r w:rsidRPr="00C43543">
        <w:rPr>
          <w:szCs w:val="28"/>
          <w14:ligatures w14:val="standardContextual"/>
        </w:rPr>
        <w:t>Wn</w:t>
      </w:r>
      <w:proofErr w:type="spellEnd"/>
      <w:r w:rsidRPr="00C43543">
        <w:rPr>
          <w:szCs w:val="28"/>
          <w14:ligatures w14:val="standardContextual"/>
        </w:rPr>
        <w:t>. App. 124, 154 n.25, 286 P.3d 695 (2012)</w:t>
      </w:r>
      <w:r w:rsidR="007519CB" w:rsidRPr="00C43543">
        <w:rPr>
          <w:szCs w:val="28"/>
          <w14:ligatures w14:val="standardContextual"/>
        </w:rPr>
        <w:fldChar w:fldCharType="begin"/>
      </w:r>
      <w:r w:rsidR="007519CB" w:rsidRPr="00C43543">
        <w:rPr>
          <w:szCs w:val="28"/>
          <w14:ligatures w14:val="standardContextual"/>
        </w:rPr>
        <w:instrText xml:space="preserve"> TA \l "</w:instrText>
      </w:r>
      <w:r w:rsidR="007519CB" w:rsidRPr="00C43543">
        <w:rPr>
          <w:i/>
          <w:iCs/>
          <w:szCs w:val="28"/>
          <w14:ligatures w14:val="standardContextual"/>
        </w:rPr>
        <w:instrText>City of Bellevue v. Raum</w:instrText>
      </w:r>
      <w:r w:rsidR="007519CB" w:rsidRPr="00C43543">
        <w:rPr>
          <w:szCs w:val="28"/>
          <w14:ligatures w14:val="standardContextual"/>
        </w:rPr>
        <w:instrText>,</w:instrText>
      </w:r>
      <w:r w:rsidR="007519CB" w:rsidRPr="00C43543">
        <w:rPr>
          <w:szCs w:val="28"/>
          <w14:ligatures w14:val="standardContextual"/>
        </w:rPr>
        <w:br/>
        <w:instrText xml:space="preserve">171 Wn. App. 124, 286 P.3d 695 (2012)" \s "Bellevue v. Raum, 171 Wn. App. 124" \c 1 </w:instrText>
      </w:r>
      <w:r w:rsidR="007519CB" w:rsidRPr="00C43543">
        <w:rPr>
          <w:szCs w:val="28"/>
          <w14:ligatures w14:val="standardContextual"/>
        </w:rPr>
        <w:fldChar w:fldCharType="end"/>
      </w:r>
      <w:r w:rsidRPr="00C43543">
        <w:rPr>
          <w:szCs w:val="28"/>
          <w14:ligatures w14:val="standardContextual"/>
        </w:rPr>
        <w:t xml:space="preserve"> (“The weight, if any, to be given a medical expert’s opinion based solely on a medical records review is within the jury’s province.”). To formulate his opinions, Dr. Dahlgren </w:t>
      </w:r>
      <w:r w:rsidR="005A75A2" w:rsidRPr="00C43543">
        <w:rPr>
          <w:szCs w:val="28"/>
          <w14:ligatures w14:val="standardContextual"/>
        </w:rPr>
        <w:t xml:space="preserve">interviewed the plaintiffs and </w:t>
      </w:r>
      <w:r w:rsidRPr="00C43543">
        <w:rPr>
          <w:szCs w:val="28"/>
          <w14:ligatures w14:val="standardContextual"/>
        </w:rPr>
        <w:t>reviewed the</w:t>
      </w:r>
      <w:r w:rsidR="005A75A2" w:rsidRPr="00C43543">
        <w:rPr>
          <w:szCs w:val="28"/>
          <w14:ligatures w14:val="standardContextual"/>
        </w:rPr>
        <w:t xml:space="preserve">ir </w:t>
      </w:r>
      <w:r w:rsidRPr="00C43543">
        <w:rPr>
          <w:szCs w:val="28"/>
          <w14:ligatures w14:val="standardContextual"/>
        </w:rPr>
        <w:t xml:space="preserve">medical records—standard methodology for a medical expert—and considered case records, environmental evidence, and scientific literature. CP 7288-89. Such evidence is “sufficient to persuade a fair-minded, rational person to agree with [the expert’s] conclusion.” </w:t>
      </w:r>
      <w:proofErr w:type="spellStart"/>
      <w:r w:rsidRPr="00C43543">
        <w:rPr>
          <w:i/>
          <w:iCs/>
          <w:szCs w:val="28"/>
          <w14:ligatures w14:val="standardContextual"/>
        </w:rPr>
        <w:t>Raum</w:t>
      </w:r>
      <w:proofErr w:type="spellEnd"/>
      <w:r w:rsidRPr="00C43543">
        <w:rPr>
          <w:szCs w:val="28"/>
          <w14:ligatures w14:val="standardContextual"/>
        </w:rPr>
        <w:t xml:space="preserve">, 171 </w:t>
      </w:r>
      <w:proofErr w:type="spellStart"/>
      <w:r w:rsidRPr="00C43543">
        <w:rPr>
          <w:szCs w:val="28"/>
          <w14:ligatures w14:val="standardContextual"/>
        </w:rPr>
        <w:t>Wn</w:t>
      </w:r>
      <w:proofErr w:type="spellEnd"/>
      <w:r w:rsidRPr="00C43543">
        <w:rPr>
          <w:szCs w:val="28"/>
          <w14:ligatures w14:val="standardContextual"/>
        </w:rPr>
        <w:t>. App. at 154</w:t>
      </w:r>
      <w:r w:rsidR="007519CB" w:rsidRPr="00C43543">
        <w:rPr>
          <w:szCs w:val="28"/>
          <w14:ligatures w14:val="standardContextual"/>
        </w:rPr>
        <w:fldChar w:fldCharType="begin"/>
      </w:r>
      <w:r w:rsidR="007519CB" w:rsidRPr="00C43543">
        <w:rPr>
          <w:szCs w:val="28"/>
          <w14:ligatures w14:val="standardContextual"/>
        </w:rPr>
        <w:instrText xml:space="preserve"> TA \s "Bellevue v. Raum, 171 Wn. App. 124" </w:instrText>
      </w:r>
      <w:r w:rsidR="007519CB" w:rsidRPr="00C43543">
        <w:rPr>
          <w:szCs w:val="28"/>
          <w14:ligatures w14:val="standardContextual"/>
        </w:rPr>
        <w:fldChar w:fldCharType="end"/>
      </w:r>
      <w:r w:rsidRPr="00C43543">
        <w:rPr>
          <w:szCs w:val="28"/>
          <w14:ligatures w14:val="standardContextual"/>
        </w:rPr>
        <w:t xml:space="preserve">. </w:t>
      </w:r>
    </w:p>
    <w:p w14:paraId="5F8DE4D5" w14:textId="554C1DD8" w:rsidR="00123D75" w:rsidRPr="00C43543" w:rsidRDefault="00123D75" w:rsidP="00123D75">
      <w:pPr>
        <w:pStyle w:val="BodyText"/>
        <w:rPr>
          <w:szCs w:val="28"/>
          <w14:ligatures w14:val="standardContextual"/>
        </w:rPr>
      </w:pPr>
      <w:r w:rsidRPr="00C43543">
        <w:rPr>
          <w:szCs w:val="28"/>
          <w14:ligatures w14:val="standardContextual"/>
        </w:rPr>
        <w:lastRenderedPageBreak/>
        <w:t xml:space="preserve">Finally, Monsanto weakly suggests (at 120) that Dr. Dahlgren’s testimony should be discounted because </w:t>
      </w:r>
      <w:r w:rsidR="00A76E52" w:rsidRPr="00C43543">
        <w:rPr>
          <w:szCs w:val="28"/>
          <w14:ligatures w14:val="standardContextual"/>
        </w:rPr>
        <w:t xml:space="preserve">a handful of courts have excluded his opinion. </w:t>
      </w:r>
      <w:r w:rsidR="00D75B64" w:rsidRPr="00C43543">
        <w:rPr>
          <w:szCs w:val="28"/>
          <w14:ligatures w14:val="standardContextual"/>
        </w:rPr>
        <w:t>Not so</w:t>
      </w:r>
      <w:r w:rsidR="00D53FF3" w:rsidRPr="00C43543">
        <w:rPr>
          <w:szCs w:val="28"/>
          <w14:ligatures w14:val="standardContextual"/>
        </w:rPr>
        <w:t>,</w:t>
      </w:r>
      <w:r w:rsidR="00D75B64" w:rsidRPr="00C43543">
        <w:rPr>
          <w:szCs w:val="28"/>
          <w14:ligatures w14:val="standardContextual"/>
        </w:rPr>
        <w:t xml:space="preserve"> Dr. Dahlgren</w:t>
      </w:r>
      <w:r w:rsidRPr="00C43543">
        <w:rPr>
          <w:szCs w:val="28"/>
          <w14:ligatures w14:val="standardContextual"/>
        </w:rPr>
        <w:t xml:space="preserve"> has participated in thousands of toxic-exposure cases, and “over 99% of [his] opinions have been accepted by the courts.” CP 7283. That some courts may have excluded an expert in the past is “not remarkable</w:t>
      </w:r>
      <w:r w:rsidR="00A76E52" w:rsidRPr="00C43543">
        <w:rPr>
          <w:szCs w:val="28"/>
          <w14:ligatures w14:val="standardContextual"/>
        </w:rPr>
        <w:t>”</w:t>
      </w:r>
      <w:proofErr w:type="gramStart"/>
      <w:r w:rsidR="00A76E52" w:rsidRPr="00C43543">
        <w:rPr>
          <w:szCs w:val="28"/>
          <w14:ligatures w14:val="standardContextual"/>
        </w:rPr>
        <w:t>—“</w:t>
      </w:r>
      <w:proofErr w:type="gramEnd"/>
      <w:r w:rsidR="00A76E52" w:rsidRPr="00C43543">
        <w:rPr>
          <w:szCs w:val="28"/>
          <w14:ligatures w14:val="standardContextual"/>
        </w:rPr>
        <w:t xml:space="preserve">[t]he broad standard of abuse of discretion means that courts can reasonably reach different conclusions about whether, and to what extent, an expert’s testimony will be helpful to the jury in a particular case.” </w:t>
      </w:r>
      <w:r w:rsidRPr="00C43543">
        <w:rPr>
          <w:i/>
          <w:iCs/>
          <w:szCs w:val="28"/>
          <w14:ligatures w14:val="standardContextual"/>
        </w:rPr>
        <w:t>Johnston-Forbes</w:t>
      </w:r>
      <w:r w:rsidRPr="00C43543">
        <w:rPr>
          <w:szCs w:val="28"/>
          <w14:ligatures w14:val="standardContextual"/>
        </w:rPr>
        <w:t>, 181 Wn.2d at 353</w:t>
      </w:r>
      <w:r w:rsidR="00A76E52" w:rsidRPr="00C43543">
        <w:rPr>
          <w:szCs w:val="28"/>
          <w14:ligatures w14:val="standardContextual"/>
        </w:rPr>
        <w:t>-54</w:t>
      </w:r>
      <w:r w:rsidR="007A6A22" w:rsidRPr="00C43543">
        <w:rPr>
          <w:szCs w:val="28"/>
          <w14:ligatures w14:val="standardContextual"/>
        </w:rPr>
        <w:fldChar w:fldCharType="begin"/>
      </w:r>
      <w:r w:rsidR="007A6A22" w:rsidRPr="00C43543">
        <w:rPr>
          <w:szCs w:val="28"/>
          <w14:ligatures w14:val="standardContextual"/>
        </w:rPr>
        <w:instrText xml:space="preserve"> TA \s "Johnston-Forbes, 181 Wn.2d 346" </w:instrText>
      </w:r>
      <w:r w:rsidR="007A6A22" w:rsidRPr="00C43543">
        <w:rPr>
          <w:szCs w:val="28"/>
          <w14:ligatures w14:val="standardContextual"/>
        </w:rPr>
        <w:fldChar w:fldCharType="end"/>
      </w:r>
      <w:r w:rsidRPr="00C43543">
        <w:rPr>
          <w:szCs w:val="28"/>
          <w14:ligatures w14:val="standardContextual"/>
        </w:rPr>
        <w:t>.</w:t>
      </w:r>
    </w:p>
    <w:p w14:paraId="6190B384" w14:textId="77777777" w:rsidR="00123D75" w:rsidRPr="00C43543" w:rsidRDefault="00123D75" w:rsidP="00FC3399">
      <w:pPr>
        <w:pStyle w:val="Heading4"/>
        <w:rPr>
          <w:rFonts w:ascii="Adobe Garamond Pro" w:hAnsi="Adobe Garamond Pro"/>
          <w14:ligatures w14:val="standardContextual"/>
        </w:rPr>
      </w:pPr>
      <w:bookmarkStart w:id="66" w:name="_Toc109728350"/>
      <w:r w:rsidRPr="00C43543">
        <w:rPr>
          <w:rFonts w:ascii="Adobe Garamond Pro" w:hAnsi="Adobe Garamond Pro"/>
          <w14:ligatures w14:val="standardContextual"/>
        </w:rPr>
        <w:t>Dr. Dahlgren’s opinions are reliable.</w:t>
      </w:r>
      <w:bookmarkEnd w:id="66"/>
    </w:p>
    <w:p w14:paraId="0743BDA0" w14:textId="62B892D9" w:rsidR="00123D75" w:rsidRPr="00C43543" w:rsidRDefault="00123D75" w:rsidP="00123D75">
      <w:pPr>
        <w:pStyle w:val="BodyText"/>
        <w:rPr>
          <w:szCs w:val="28"/>
          <w14:ligatures w14:val="standardContextual"/>
        </w:rPr>
      </w:pPr>
      <w:r w:rsidRPr="00C43543">
        <w:rPr>
          <w:szCs w:val="28"/>
          <w14:ligatures w14:val="standardContextual"/>
        </w:rPr>
        <w:t xml:space="preserve">Monsanto’s attacks on the reliability of Dr. Dahlgren’s opinions also fail. </w:t>
      </w:r>
    </w:p>
    <w:p w14:paraId="4CCE6177" w14:textId="37A2C294" w:rsidR="00123D75" w:rsidRPr="00C43543" w:rsidRDefault="00123D75" w:rsidP="00123D75">
      <w:pPr>
        <w:pStyle w:val="BodyText"/>
        <w:rPr>
          <w:szCs w:val="28"/>
          <w14:ligatures w14:val="standardContextual"/>
        </w:rPr>
      </w:pPr>
      <w:r w:rsidRPr="00C43543">
        <w:rPr>
          <w:i/>
          <w:iCs/>
          <w:szCs w:val="28"/>
          <w14:ligatures w14:val="standardContextual"/>
        </w:rPr>
        <w:t>First</w:t>
      </w:r>
      <w:r w:rsidRPr="00C43543">
        <w:rPr>
          <w:szCs w:val="28"/>
          <w14:ligatures w14:val="standardContextual"/>
        </w:rPr>
        <w:t>, Monsanto claims that Dr. Dahlgren’s testimony was inadmissible because he relied on other expert</w:t>
      </w:r>
      <w:r w:rsidR="00E454A9" w:rsidRPr="00C43543">
        <w:rPr>
          <w:szCs w:val="28"/>
          <w14:ligatures w14:val="standardContextual"/>
        </w:rPr>
        <w:t>s</w:t>
      </w:r>
      <w:r w:rsidRPr="00C43543">
        <w:rPr>
          <w:szCs w:val="28"/>
          <w14:ligatures w14:val="standardContextual"/>
        </w:rPr>
        <w:t xml:space="preserve">—specifically, opinions from Coghlan and Dr. </w:t>
      </w:r>
      <w:proofErr w:type="spellStart"/>
      <w:r w:rsidRPr="00C43543">
        <w:rPr>
          <w:szCs w:val="28"/>
          <w14:ligatures w14:val="standardContextual"/>
        </w:rPr>
        <w:t>Perrillo</w:t>
      </w:r>
      <w:proofErr w:type="spellEnd"/>
      <w:r w:rsidRPr="00C43543">
        <w:rPr>
          <w:szCs w:val="28"/>
          <w14:ligatures w14:val="standardContextual"/>
        </w:rPr>
        <w:t>. Br. 122, 125-26. But it</w:t>
      </w:r>
      <w:r w:rsidR="005A75A2" w:rsidRPr="00C43543">
        <w:rPr>
          <w:szCs w:val="28"/>
          <w14:ligatures w14:val="standardContextual"/>
        </w:rPr>
        <w:t>’</w:t>
      </w:r>
      <w:r w:rsidRPr="00C43543">
        <w:rPr>
          <w:szCs w:val="28"/>
          <w14:ligatures w14:val="standardContextual"/>
        </w:rPr>
        <w:t xml:space="preserve">s black-letter law that “[o]ne expert may rely on the opinions of another expert when formulating opinions.” </w:t>
      </w:r>
      <w:r w:rsidRPr="00C43543">
        <w:rPr>
          <w:i/>
          <w:iCs/>
          <w:szCs w:val="28"/>
          <w14:ligatures w14:val="standardContextual"/>
        </w:rPr>
        <w:t>Driggs v. Howlett</w:t>
      </w:r>
      <w:r w:rsidRPr="00C43543">
        <w:rPr>
          <w:szCs w:val="28"/>
          <w14:ligatures w14:val="standardContextual"/>
        </w:rPr>
        <w:t xml:space="preserve">, 193 </w:t>
      </w:r>
      <w:proofErr w:type="spellStart"/>
      <w:r w:rsidRPr="00C43543">
        <w:rPr>
          <w:szCs w:val="28"/>
          <w14:ligatures w14:val="standardContextual"/>
        </w:rPr>
        <w:t>Wn</w:t>
      </w:r>
      <w:proofErr w:type="spellEnd"/>
      <w:r w:rsidRPr="00C43543">
        <w:rPr>
          <w:szCs w:val="28"/>
          <w14:ligatures w14:val="standardContextual"/>
        </w:rPr>
        <w:t>. App. 875, 900, 371 P.3d 61 (2016)</w:t>
      </w:r>
      <w:r w:rsidR="007A6A22" w:rsidRPr="00C43543">
        <w:rPr>
          <w:szCs w:val="28"/>
          <w14:ligatures w14:val="standardContextual"/>
        </w:rPr>
        <w:fldChar w:fldCharType="begin"/>
      </w:r>
      <w:r w:rsidR="007A6A22" w:rsidRPr="00C43543">
        <w:rPr>
          <w:szCs w:val="28"/>
          <w14:ligatures w14:val="standardContextual"/>
        </w:rPr>
        <w:instrText xml:space="preserve"> TA \l "</w:instrText>
      </w:r>
      <w:r w:rsidR="007A6A22" w:rsidRPr="00C43543">
        <w:rPr>
          <w:i/>
          <w:iCs/>
          <w:szCs w:val="28"/>
          <w14:ligatures w14:val="standardContextual"/>
        </w:rPr>
        <w:instrText>Driggs v. Howlett</w:instrText>
      </w:r>
      <w:r w:rsidR="007A6A22" w:rsidRPr="00C43543">
        <w:rPr>
          <w:szCs w:val="28"/>
          <w14:ligatures w14:val="standardContextual"/>
        </w:rPr>
        <w:instrText>,</w:instrText>
      </w:r>
      <w:r w:rsidR="007A6A22" w:rsidRPr="00C43543">
        <w:rPr>
          <w:szCs w:val="28"/>
          <w14:ligatures w14:val="standardContextual"/>
        </w:rPr>
        <w:br/>
        <w:instrText xml:space="preserve">193 Wn. App. 875, 371 P.3d 61 (2016)" \s "Driggs v. Howlett, 193 Wn. App. 875" \c 1 </w:instrText>
      </w:r>
      <w:r w:rsidR="007A6A22" w:rsidRPr="00C43543">
        <w:rPr>
          <w:szCs w:val="28"/>
          <w14:ligatures w14:val="standardContextual"/>
        </w:rPr>
        <w:fldChar w:fldCharType="end"/>
      </w:r>
      <w:r w:rsidRPr="00C43543">
        <w:rPr>
          <w:szCs w:val="28"/>
          <w14:ligatures w14:val="standardContextual"/>
        </w:rPr>
        <w:t>. That’s especially so in a “complex case</w:t>
      </w:r>
      <w:r w:rsidR="00E454A9" w:rsidRPr="00C43543">
        <w:rPr>
          <w:szCs w:val="28"/>
          <w14:ligatures w14:val="standardContextual"/>
        </w:rPr>
        <w:t>,</w:t>
      </w:r>
      <w:r w:rsidRPr="00C43543">
        <w:rPr>
          <w:szCs w:val="28"/>
          <w14:ligatures w14:val="standardContextual"/>
        </w:rPr>
        <w:t xml:space="preserve">” “where it is unlikely that one person would possess </w:t>
      </w:r>
      <w:r w:rsidRPr="00C43543">
        <w:rPr>
          <w:szCs w:val="28"/>
          <w14:ligatures w14:val="standardContextual"/>
        </w:rPr>
        <w:lastRenderedPageBreak/>
        <w:t xml:space="preserve">all the expertise necessary to address every issue.” CP 16785. </w:t>
      </w:r>
      <w:r w:rsidR="009006E6" w:rsidRPr="00C43543">
        <w:rPr>
          <w:szCs w:val="28"/>
          <w14:ligatures w14:val="standardContextual"/>
        </w:rPr>
        <w:t>B</w:t>
      </w:r>
      <w:r w:rsidRPr="00C43543">
        <w:rPr>
          <w:szCs w:val="28"/>
          <w14:ligatures w14:val="standardContextual"/>
        </w:rPr>
        <w:t xml:space="preserve">oth Coghlan’s and Dr. </w:t>
      </w:r>
      <w:proofErr w:type="spellStart"/>
      <w:r w:rsidRPr="00C43543">
        <w:rPr>
          <w:szCs w:val="28"/>
          <w14:ligatures w14:val="standardContextual"/>
        </w:rPr>
        <w:t>Perrillo’s</w:t>
      </w:r>
      <w:proofErr w:type="spellEnd"/>
      <w:r w:rsidRPr="00C43543">
        <w:rPr>
          <w:szCs w:val="28"/>
          <w14:ligatures w14:val="standardContextual"/>
        </w:rPr>
        <w:t xml:space="preserve"> </w:t>
      </w:r>
      <w:r w:rsidR="00357E87">
        <w:rPr>
          <w:szCs w:val="28"/>
          <w14:ligatures w14:val="standardContextual"/>
        </w:rPr>
        <w:t>opinions</w:t>
      </w:r>
      <w:r w:rsidR="00357E87" w:rsidRPr="00C43543">
        <w:rPr>
          <w:szCs w:val="28"/>
          <w14:ligatures w14:val="standardContextual"/>
        </w:rPr>
        <w:t xml:space="preserve"> </w:t>
      </w:r>
      <w:r w:rsidRPr="00C43543">
        <w:rPr>
          <w:szCs w:val="28"/>
          <w14:ligatures w14:val="standardContextual"/>
        </w:rPr>
        <w:t>w</w:t>
      </w:r>
      <w:r w:rsidR="00357E87">
        <w:rPr>
          <w:szCs w:val="28"/>
          <w14:ligatures w14:val="standardContextual"/>
        </w:rPr>
        <w:t>ere</w:t>
      </w:r>
      <w:r w:rsidRPr="00C43543">
        <w:rPr>
          <w:szCs w:val="28"/>
          <w14:ligatures w14:val="standardContextual"/>
        </w:rPr>
        <w:t xml:space="preserve"> properly admitted; they therefore were sufficient bases for Dr. Dahlgren’s testimony. </w:t>
      </w:r>
    </w:p>
    <w:p w14:paraId="247DF0DE" w14:textId="052B65E7" w:rsidR="00123D75" w:rsidRPr="00C43543" w:rsidRDefault="00617BA8" w:rsidP="00123D75">
      <w:pPr>
        <w:pStyle w:val="BodyText"/>
        <w:rPr>
          <w:szCs w:val="28"/>
          <w14:ligatures w14:val="standardContextual"/>
        </w:rPr>
      </w:pPr>
      <w:r w:rsidRPr="00C43543">
        <w:rPr>
          <w:szCs w:val="28"/>
          <w14:ligatures w14:val="standardContextual"/>
        </w:rPr>
        <w:t>Regardless</w:t>
      </w:r>
      <w:r w:rsidR="00123D75" w:rsidRPr="00C43543">
        <w:rPr>
          <w:szCs w:val="28"/>
          <w14:ligatures w14:val="standardContextual"/>
        </w:rPr>
        <w:t xml:space="preserve">, Monsanto neglects to mention that Dr. Dahlgren based his opinions on other evidence that the company does </w:t>
      </w:r>
      <w:r w:rsidR="00123D75" w:rsidRPr="00C43543">
        <w:rPr>
          <w:i/>
          <w:iCs/>
          <w:szCs w:val="28"/>
          <w14:ligatures w14:val="standardContextual"/>
        </w:rPr>
        <w:t>not</w:t>
      </w:r>
      <w:r w:rsidR="00123D75" w:rsidRPr="00C43543">
        <w:rPr>
          <w:szCs w:val="28"/>
          <w14:ligatures w14:val="standardContextual"/>
        </w:rPr>
        <w:t xml:space="preserve"> challenge on appeal. For example, he relied on Dr. Mahoney’s epidemiological study as well as Dr. Carpenter’s published studies finding that PCBs have neurotoxic effects. </w:t>
      </w:r>
      <w:r w:rsidR="00123D75" w:rsidRPr="00C43543">
        <w:rPr>
          <w:i/>
          <w:iCs/>
          <w:szCs w:val="28"/>
          <w14:ligatures w14:val="standardContextual"/>
        </w:rPr>
        <w:t>See, e.g.</w:t>
      </w:r>
      <w:r w:rsidR="00123D75" w:rsidRPr="00C43543">
        <w:rPr>
          <w:szCs w:val="28"/>
          <w14:ligatures w14:val="standardContextual"/>
        </w:rPr>
        <w:t xml:space="preserve">, CP 7288; Tr. 2264, 2270, 2287. And his opinions were also </w:t>
      </w:r>
      <w:r w:rsidR="005A75A2" w:rsidRPr="00C43543">
        <w:rPr>
          <w:szCs w:val="28"/>
          <w14:ligatures w14:val="standardContextual"/>
        </w:rPr>
        <w:t xml:space="preserve">grounded in </w:t>
      </w:r>
      <w:r w:rsidR="00123D75" w:rsidRPr="00C43543">
        <w:rPr>
          <w:szCs w:val="28"/>
          <w14:ligatures w14:val="standardContextual"/>
        </w:rPr>
        <w:t xml:space="preserve">his independent review of the scientific literature and the plaintiffs’ medical records. </w:t>
      </w:r>
      <w:r w:rsidR="00123D75" w:rsidRPr="00C43543">
        <w:rPr>
          <w:i/>
          <w:iCs/>
          <w:szCs w:val="28"/>
          <w14:ligatures w14:val="standardContextual"/>
        </w:rPr>
        <w:t>See, e.g.</w:t>
      </w:r>
      <w:r w:rsidR="00123D75" w:rsidRPr="00C43543">
        <w:rPr>
          <w:szCs w:val="28"/>
          <w14:ligatures w14:val="standardContextual"/>
        </w:rPr>
        <w:t>,</w:t>
      </w:r>
      <w:r w:rsidR="00123D75" w:rsidRPr="00C43543">
        <w:rPr>
          <w:i/>
          <w:iCs/>
          <w:szCs w:val="28"/>
          <w14:ligatures w14:val="standardContextual"/>
        </w:rPr>
        <w:t xml:space="preserve"> </w:t>
      </w:r>
      <w:r w:rsidR="00123D75" w:rsidRPr="00C43543">
        <w:rPr>
          <w:szCs w:val="28"/>
          <w14:ligatures w14:val="standardContextual"/>
        </w:rPr>
        <w:t>CP 7268-72, 7283-85, 7287.</w:t>
      </w:r>
    </w:p>
    <w:p w14:paraId="0E8E37F0" w14:textId="7FE4BB1B" w:rsidR="00123D75" w:rsidRPr="00C43543" w:rsidRDefault="00123D75" w:rsidP="00123D75">
      <w:pPr>
        <w:pStyle w:val="BodyText"/>
        <w:rPr>
          <w:szCs w:val="28"/>
          <w14:ligatures w14:val="standardContextual"/>
        </w:rPr>
      </w:pPr>
      <w:r w:rsidRPr="00C43543">
        <w:rPr>
          <w:i/>
          <w:iCs/>
          <w:szCs w:val="28"/>
          <w14:ligatures w14:val="standardContextual"/>
        </w:rPr>
        <w:t>Second</w:t>
      </w:r>
      <w:r w:rsidRPr="00C43543">
        <w:rPr>
          <w:szCs w:val="28"/>
          <w14:ligatures w14:val="standardContextual"/>
        </w:rPr>
        <w:t xml:space="preserve">, Monsanto argues (at 126-32) that Dr. </w:t>
      </w:r>
      <w:proofErr w:type="spellStart"/>
      <w:r w:rsidRPr="00C43543">
        <w:rPr>
          <w:szCs w:val="28"/>
          <w14:ligatures w14:val="standardContextual"/>
        </w:rPr>
        <w:t>Dalghren’s</w:t>
      </w:r>
      <w:proofErr w:type="spellEnd"/>
      <w:r w:rsidRPr="00C43543">
        <w:rPr>
          <w:szCs w:val="28"/>
          <w14:ligatures w14:val="standardContextual"/>
        </w:rPr>
        <w:t xml:space="preserve"> causation opinions were unreliable under ER 702 because he “selectively ignored” the February 2016 air testing and the plaintiffs’ blood tests. But he </w:t>
      </w:r>
      <w:r w:rsidR="009006E6" w:rsidRPr="00C43543">
        <w:rPr>
          <w:szCs w:val="28"/>
          <w14:ligatures w14:val="standardContextual"/>
        </w:rPr>
        <w:t>explained why:</w:t>
      </w:r>
      <w:r w:rsidRPr="00C43543">
        <w:rPr>
          <w:szCs w:val="28"/>
          <w14:ligatures w14:val="standardContextual"/>
        </w:rPr>
        <w:t xml:space="preserve"> </w:t>
      </w:r>
      <w:r w:rsidR="00D53FF3" w:rsidRPr="00C43543">
        <w:rPr>
          <w:szCs w:val="28"/>
          <w14:ligatures w14:val="standardContextual"/>
        </w:rPr>
        <w:t>T</w:t>
      </w:r>
      <w:r w:rsidRPr="00C43543">
        <w:rPr>
          <w:szCs w:val="28"/>
          <w14:ligatures w14:val="standardContextual"/>
        </w:rPr>
        <w:t xml:space="preserve">he air testing conducted in 2016 was “done after extensive remediation.” Tr. 2286. As the record makes clear, this remediation made it difficult for the 2016 testing to reveal anything close to “the atmosphere [the] teachers were exposed to during their, roughly, four years in the school.” Tr. 1784. Dr. Dahlgren also explained why </w:t>
      </w:r>
      <w:r w:rsidR="009006E6" w:rsidRPr="00C43543">
        <w:rPr>
          <w:szCs w:val="28"/>
          <w14:ligatures w14:val="standardContextual"/>
        </w:rPr>
        <w:t>lower-chlorinated</w:t>
      </w:r>
      <w:r w:rsidRPr="00C43543">
        <w:rPr>
          <w:szCs w:val="28"/>
          <w14:ligatures w14:val="standardContextual"/>
        </w:rPr>
        <w:t xml:space="preserve"> PCBs present </w:t>
      </w:r>
      <w:r w:rsidRPr="00C43543">
        <w:rPr>
          <w:szCs w:val="28"/>
          <w14:ligatures w14:val="standardContextual"/>
        </w:rPr>
        <w:lastRenderedPageBreak/>
        <w:t xml:space="preserve">at Sky Valley often can’t be accurately detected in a person’s blood, Tr. 2252—which was confirmed by other testimony and evidence unchallenged on appeal,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Tr. 1333-35 (</w:t>
      </w:r>
      <w:proofErr w:type="spellStart"/>
      <w:r w:rsidRPr="00C43543">
        <w:rPr>
          <w:szCs w:val="28"/>
          <w14:ligatures w14:val="standardContextual"/>
        </w:rPr>
        <w:t>DeGrandchamp</w:t>
      </w:r>
      <w:proofErr w:type="spellEnd"/>
      <w:r w:rsidRPr="00C43543">
        <w:rPr>
          <w:szCs w:val="28"/>
          <w14:ligatures w14:val="standardContextual"/>
        </w:rPr>
        <w:t xml:space="preserve">); Tr. 2149-53 (Carpenter); P-1674 at 10. Thus, contrary to Monsanto’s insinuations (at 130-31), this case is nothing like </w:t>
      </w:r>
      <w:proofErr w:type="spellStart"/>
      <w:r w:rsidRPr="00C43543">
        <w:rPr>
          <w:i/>
          <w:iCs/>
          <w:szCs w:val="28"/>
          <w14:ligatures w14:val="standardContextual"/>
        </w:rPr>
        <w:t>Lakey</w:t>
      </w:r>
      <w:proofErr w:type="spellEnd"/>
      <w:r w:rsidRPr="00C43543">
        <w:rPr>
          <w:szCs w:val="28"/>
          <w14:ligatures w14:val="standardContextual"/>
        </w:rPr>
        <w:t xml:space="preserve">, because unlike the expert there, Dr. Dahlgren </w:t>
      </w:r>
      <w:r w:rsidRPr="00C43543">
        <w:rPr>
          <w:i/>
          <w:iCs/>
          <w:szCs w:val="28"/>
          <w14:ligatures w14:val="standardContextual"/>
        </w:rPr>
        <w:t>did</w:t>
      </w:r>
      <w:r w:rsidRPr="00C43543">
        <w:rPr>
          <w:szCs w:val="28"/>
          <w14:ligatures w14:val="standardContextual"/>
        </w:rPr>
        <w:t xml:space="preserve"> “consider all relevant data.” 176 Wn.2d at 921</w:t>
      </w:r>
      <w:r w:rsidR="007A6A22" w:rsidRPr="00C43543">
        <w:rPr>
          <w:szCs w:val="28"/>
          <w14:ligatures w14:val="standardContextual"/>
        </w:rPr>
        <w:fldChar w:fldCharType="begin"/>
      </w:r>
      <w:r w:rsidR="007A6A22" w:rsidRPr="00C43543">
        <w:rPr>
          <w:szCs w:val="28"/>
          <w14:ligatures w14:val="standardContextual"/>
        </w:rPr>
        <w:instrText xml:space="preserve"> TA \s "Lakey v. Puget Sound, 176 Wn.2d 909" </w:instrText>
      </w:r>
      <w:r w:rsidR="007A6A22" w:rsidRPr="00C43543">
        <w:rPr>
          <w:szCs w:val="28"/>
          <w14:ligatures w14:val="standardContextual"/>
        </w:rPr>
        <w:fldChar w:fldCharType="end"/>
      </w:r>
      <w:r w:rsidRPr="00C43543">
        <w:rPr>
          <w:szCs w:val="28"/>
          <w14:ligatures w14:val="standardContextual"/>
        </w:rPr>
        <w:t>. Monsanto just disagrees about which data is most persuasive—but that doesn’t bear on admissibility.</w:t>
      </w:r>
    </w:p>
    <w:p w14:paraId="0104AA03" w14:textId="61F00D4F" w:rsidR="00123D75" w:rsidRPr="00C43543" w:rsidRDefault="00123D75" w:rsidP="00FC3399">
      <w:pPr>
        <w:pStyle w:val="Heading3"/>
        <w:rPr>
          <w:rFonts w:ascii="Adobe Garamond Pro" w:hAnsi="Adobe Garamond Pro"/>
          <w14:ligatures w14:val="standardContextual"/>
        </w:rPr>
      </w:pPr>
      <w:bookmarkStart w:id="67" w:name="_Toc109728351"/>
      <w:r w:rsidRPr="00C43543">
        <w:rPr>
          <w:rFonts w:ascii="Adobe Garamond Pro" w:hAnsi="Adobe Garamond Pro"/>
          <w14:ligatures w14:val="standardContextual"/>
        </w:rPr>
        <w:t xml:space="preserve">The </w:t>
      </w:r>
      <w:r w:rsidR="00D355C4" w:rsidRPr="00C43543">
        <w:rPr>
          <w:rFonts w:ascii="Adobe Garamond Pro" w:hAnsi="Adobe Garamond Pro"/>
          <w14:ligatures w14:val="standardContextual"/>
        </w:rPr>
        <w:t>trial</w:t>
      </w:r>
      <w:r w:rsidRPr="00C43543">
        <w:rPr>
          <w:rFonts w:ascii="Adobe Garamond Pro" w:hAnsi="Adobe Garamond Pro"/>
          <w14:ligatures w14:val="standardContextual"/>
        </w:rPr>
        <w:t xml:space="preserve"> court correctly </w:t>
      </w:r>
      <w:r w:rsidR="009006E6" w:rsidRPr="00C43543">
        <w:rPr>
          <w:rFonts w:ascii="Adobe Garamond Pro" w:hAnsi="Adobe Garamond Pro"/>
          <w14:ligatures w14:val="standardContextual"/>
        </w:rPr>
        <w:t xml:space="preserve">admitted </w:t>
      </w:r>
      <w:r w:rsidRPr="00C43543">
        <w:rPr>
          <w:rFonts w:ascii="Adobe Garamond Pro" w:hAnsi="Adobe Garamond Pro"/>
          <w14:ligatures w14:val="standardContextual"/>
        </w:rPr>
        <w:t>Coghlan</w:t>
      </w:r>
      <w:r w:rsidR="009006E6" w:rsidRPr="00C43543">
        <w:rPr>
          <w:rFonts w:ascii="Adobe Garamond Pro" w:hAnsi="Adobe Garamond Pro"/>
          <w14:ligatures w14:val="standardContextual"/>
        </w:rPr>
        <w:t xml:space="preserve">’s opinion on </w:t>
      </w:r>
      <w:r w:rsidRPr="00C43543">
        <w:rPr>
          <w:rFonts w:ascii="Adobe Garamond Pro" w:hAnsi="Adobe Garamond Pro"/>
          <w14:ligatures w14:val="standardContextual"/>
        </w:rPr>
        <w:t>the plaintiffs’ PCB exposure levels.</w:t>
      </w:r>
      <w:bookmarkEnd w:id="67"/>
    </w:p>
    <w:p w14:paraId="2AFAF4EE" w14:textId="351D571A" w:rsidR="00123D75" w:rsidRPr="00C43543" w:rsidRDefault="00123D75" w:rsidP="00123D75">
      <w:pPr>
        <w:pStyle w:val="BodyText"/>
        <w:rPr>
          <w:szCs w:val="28"/>
          <w14:ligatures w14:val="standardContextual"/>
        </w:rPr>
      </w:pPr>
      <w:r w:rsidRPr="00C43543">
        <w:rPr>
          <w:szCs w:val="28"/>
          <w14:ligatures w14:val="standardContextual"/>
        </w:rPr>
        <w:t xml:space="preserve">Kevin Coghlan, an industrial hygienist with over 30 years of experience, testified at trial that the plaintiffs were exposed to unsafe levels of PCBs during the time they taught at Sky Valley. </w:t>
      </w:r>
      <w:r w:rsidRPr="00C43543">
        <w:rPr>
          <w:i/>
          <w:iCs/>
          <w:szCs w:val="28"/>
          <w14:ligatures w14:val="standardContextual"/>
        </w:rPr>
        <w:t xml:space="preserve">See </w:t>
      </w:r>
      <w:r w:rsidRPr="00C43543">
        <w:rPr>
          <w:szCs w:val="28"/>
          <w14:ligatures w14:val="standardContextual"/>
        </w:rPr>
        <w:t>Tr. 1704, 1725. Specifically, Coghlan estimated that the teachers were exposed to PCB air levels of “several hundred to several thousand nanograms per cubic meter”</w:t>
      </w:r>
      <w:r w:rsidR="009006E6" w:rsidRPr="00C43543">
        <w:rPr>
          <w:szCs w:val="28"/>
          <w14:ligatures w14:val="standardContextual"/>
        </w:rPr>
        <w:t xml:space="preserve"> and as high as 9,500 ng/m3</w:t>
      </w:r>
      <w:r w:rsidRPr="00C43543">
        <w:rPr>
          <w:szCs w:val="28"/>
          <w14:ligatures w14:val="standardContextual"/>
        </w:rPr>
        <w:t xml:space="preserve">—levels that far exceed safe limits. Tr. 1725; </w:t>
      </w:r>
      <w:r w:rsidRPr="00C43543">
        <w:rPr>
          <w:i/>
          <w:iCs/>
          <w:szCs w:val="28"/>
          <w14:ligatures w14:val="standardContextual"/>
        </w:rPr>
        <w:t xml:space="preserve">see </w:t>
      </w:r>
      <w:r w:rsidRPr="00C43543">
        <w:rPr>
          <w:szCs w:val="28"/>
          <w14:ligatures w14:val="standardContextual"/>
        </w:rPr>
        <w:t>CP 18268-69, 18360 (estimating that air values at Sky Valley likely ranged from 340 ng/m</w:t>
      </w:r>
      <w:r w:rsidR="00F7339C" w:rsidRPr="00801DC8">
        <w:rPr>
          <w:vertAlign w:val="superscript"/>
        </w:rPr>
        <w:t>3</w:t>
      </w:r>
      <w:r w:rsidRPr="00C43543">
        <w:rPr>
          <w:szCs w:val="28"/>
          <w14:ligatures w14:val="standardContextual"/>
        </w:rPr>
        <w:t xml:space="preserve"> to 9,500 ng/m</w:t>
      </w:r>
      <w:r w:rsidR="00F7339C" w:rsidRPr="00801DC8">
        <w:rPr>
          <w:vertAlign w:val="superscript"/>
        </w:rPr>
        <w:t>3</w:t>
      </w:r>
      <w:r w:rsidRPr="00C43543">
        <w:rPr>
          <w:szCs w:val="28"/>
          <w14:ligatures w14:val="standardContextual"/>
        </w:rPr>
        <w:t xml:space="preserve">). And this was a “conservative” estimate: It </w:t>
      </w:r>
      <w:r w:rsidRPr="00C43543">
        <w:rPr>
          <w:szCs w:val="28"/>
          <w14:ligatures w14:val="standardContextual"/>
        </w:rPr>
        <w:lastRenderedPageBreak/>
        <w:t xml:space="preserve">did not factor in ballast ruptures, PCB oil spills, or alternative methods of exposure like skin contact. Tr. 1799-1801, 1819; CP 11950. </w:t>
      </w:r>
    </w:p>
    <w:p w14:paraId="78931F02" w14:textId="41A34C46" w:rsidR="00123D75" w:rsidRPr="00C43543" w:rsidRDefault="00123D75" w:rsidP="00123D75">
      <w:pPr>
        <w:pStyle w:val="BodyText"/>
        <w:rPr>
          <w:szCs w:val="28"/>
          <w14:ligatures w14:val="standardContextual"/>
        </w:rPr>
      </w:pPr>
      <w:r w:rsidRPr="00C43543">
        <w:rPr>
          <w:szCs w:val="28"/>
          <w14:ligatures w14:val="standardContextual"/>
        </w:rPr>
        <w:t xml:space="preserve">In attacking Coghlan’s testimony, Monsanto does not question his qualifications. For good reason. He has personally managed and directed hundreds of environmental investigations in </w:t>
      </w:r>
      <w:r w:rsidR="00F46D85" w:rsidRPr="00C43543">
        <w:rPr>
          <w:szCs w:val="28"/>
          <w14:ligatures w14:val="standardContextual"/>
        </w:rPr>
        <w:t>schools and other</w:t>
      </w:r>
      <w:r w:rsidRPr="00C43543">
        <w:rPr>
          <w:szCs w:val="28"/>
          <w14:ligatures w14:val="standardContextual"/>
        </w:rPr>
        <w:t xml:space="preserve"> work </w:t>
      </w:r>
      <w:proofErr w:type="gramStart"/>
      <w:r w:rsidRPr="00C43543">
        <w:rPr>
          <w:szCs w:val="28"/>
          <w14:ligatures w14:val="standardContextual"/>
        </w:rPr>
        <w:t>settings, and</w:t>
      </w:r>
      <w:proofErr w:type="gramEnd"/>
      <w:r w:rsidRPr="00C43543">
        <w:rPr>
          <w:szCs w:val="28"/>
          <w14:ligatures w14:val="standardContextual"/>
        </w:rPr>
        <w:t xml:space="preserve"> has been selected by the EPA to serve as a principal investigator and peer reviewer for </w:t>
      </w:r>
      <w:r w:rsidR="00F46D85" w:rsidRPr="00C43543">
        <w:rPr>
          <w:szCs w:val="28"/>
          <w14:ligatures w14:val="standardContextual"/>
        </w:rPr>
        <w:t>PCB</w:t>
      </w:r>
      <w:r w:rsidR="00F7339C">
        <w:rPr>
          <w:szCs w:val="28"/>
          <w14:ligatures w14:val="standardContextual"/>
        </w:rPr>
        <w:t>-</w:t>
      </w:r>
      <w:r w:rsidR="00F46D85" w:rsidRPr="00C43543">
        <w:rPr>
          <w:szCs w:val="28"/>
          <w14:ligatures w14:val="standardContextual"/>
        </w:rPr>
        <w:t xml:space="preserve">exposure </w:t>
      </w:r>
      <w:r w:rsidRPr="00C43543">
        <w:rPr>
          <w:szCs w:val="28"/>
          <w14:ligatures w14:val="standardContextual"/>
        </w:rPr>
        <w:t>assessment</w:t>
      </w:r>
      <w:r w:rsidR="00F46D85" w:rsidRPr="00C43543">
        <w:rPr>
          <w:szCs w:val="28"/>
          <w14:ligatures w14:val="standardContextual"/>
        </w:rPr>
        <w:t>s</w:t>
      </w:r>
      <w:r w:rsidRPr="00C43543">
        <w:rPr>
          <w:szCs w:val="28"/>
          <w14:ligatures w14:val="standardContextual"/>
        </w:rPr>
        <w:t>. CP 7430-31, 18253-54</w:t>
      </w:r>
      <w:r w:rsidR="00D53FF3" w:rsidRPr="00C43543">
        <w:rPr>
          <w:szCs w:val="28"/>
          <w14:ligatures w14:val="standardContextual"/>
        </w:rPr>
        <w:t>,</w:t>
      </w:r>
      <w:r w:rsidRPr="00C43543">
        <w:rPr>
          <w:szCs w:val="28"/>
          <w14:ligatures w14:val="standardContextual"/>
        </w:rPr>
        <w:t xml:space="preserve"> 18265. Instead, Monsanto contends (at 70-71) that Coghlan’s opinions are inadmissible because his methodologies “lacked general acceptance in the scientific community.” </w:t>
      </w:r>
    </w:p>
    <w:p w14:paraId="3F197F2F" w14:textId="58ECB1F6" w:rsidR="00123D75" w:rsidRPr="00C43543" w:rsidRDefault="00123D75" w:rsidP="00123D75">
      <w:pPr>
        <w:pStyle w:val="BodyText"/>
        <w:rPr>
          <w:szCs w:val="28"/>
          <w14:ligatures w14:val="standardContextual"/>
        </w:rPr>
      </w:pPr>
      <w:r w:rsidRPr="00C43543">
        <w:rPr>
          <w:szCs w:val="28"/>
          <w14:ligatures w14:val="standardContextual"/>
        </w:rPr>
        <w:t xml:space="preserve">Contrary to Monsanto’s arguments, “the scientific principles behind Mr. Coghlan’s analysis were well-established.” CP 16783. </w:t>
      </w:r>
      <w:r w:rsidR="00F46D85" w:rsidRPr="00C43543">
        <w:rPr>
          <w:szCs w:val="28"/>
          <w14:ligatures w14:val="standardContextual"/>
        </w:rPr>
        <w:t>H</w:t>
      </w:r>
      <w:r w:rsidR="009006E6" w:rsidRPr="00C43543">
        <w:rPr>
          <w:szCs w:val="28"/>
          <w14:ligatures w14:val="standardContextual"/>
        </w:rPr>
        <w:t xml:space="preserve">e used three </w:t>
      </w:r>
      <w:proofErr w:type="gramStart"/>
      <w:r w:rsidR="009006E6" w:rsidRPr="00C43543">
        <w:rPr>
          <w:szCs w:val="28"/>
          <w14:ligatures w14:val="standardContextual"/>
        </w:rPr>
        <w:t>independent</w:t>
      </w:r>
      <w:proofErr w:type="gramEnd"/>
      <w:r w:rsidR="009006E6" w:rsidRPr="00C43543">
        <w:rPr>
          <w:szCs w:val="28"/>
          <w14:ligatures w14:val="standardContextual"/>
        </w:rPr>
        <w:t xml:space="preserve">, but mutually reinforcing, methods grounded in accepted scientific principles to </w:t>
      </w:r>
      <w:r w:rsidR="00F46D85" w:rsidRPr="00C43543">
        <w:rPr>
          <w:szCs w:val="28"/>
          <w14:ligatures w14:val="standardContextual"/>
        </w:rPr>
        <w:t>assess</w:t>
      </w:r>
      <w:r w:rsidR="009006E6" w:rsidRPr="00C43543">
        <w:rPr>
          <w:szCs w:val="28"/>
          <w14:ligatures w14:val="standardContextual"/>
        </w:rPr>
        <w:t xml:space="preserve"> Sky Valley’s exposure levels. </w:t>
      </w:r>
      <w:r w:rsidR="009006E6" w:rsidRPr="00C43543">
        <w:rPr>
          <w:i/>
          <w:iCs/>
          <w:szCs w:val="28"/>
          <w14:ligatures w14:val="standardContextual"/>
        </w:rPr>
        <w:t>See</w:t>
      </w:r>
      <w:r w:rsidR="009006E6" w:rsidRPr="00C43543">
        <w:rPr>
          <w:szCs w:val="28"/>
          <w14:ligatures w14:val="standardContextual"/>
        </w:rPr>
        <w:t xml:space="preserve"> CP 18259-394 (Coghlan’s expert report). </w:t>
      </w:r>
      <w:r w:rsidRPr="00C43543">
        <w:rPr>
          <w:szCs w:val="28"/>
          <w14:ligatures w14:val="standardContextual"/>
        </w:rPr>
        <w:t xml:space="preserve">As the trial court recognized, Monsanto’s critiques </w:t>
      </w:r>
      <w:proofErr w:type="gramStart"/>
      <w:r w:rsidR="009006E6" w:rsidRPr="00C43543">
        <w:rPr>
          <w:szCs w:val="28"/>
          <w14:ligatures w14:val="standardContextual"/>
        </w:rPr>
        <w:t xml:space="preserve">actually </w:t>
      </w:r>
      <w:r w:rsidRPr="00C43543">
        <w:rPr>
          <w:szCs w:val="28"/>
          <w14:ligatures w14:val="standardContextual"/>
        </w:rPr>
        <w:t>go</w:t>
      </w:r>
      <w:proofErr w:type="gramEnd"/>
      <w:r w:rsidRPr="00C43543">
        <w:rPr>
          <w:szCs w:val="28"/>
          <w14:ligatures w14:val="standardContextual"/>
        </w:rPr>
        <w:t xml:space="preserve"> “not to the scientific theory but to how Mr. Coghlan applied that theory in this particular instance</w:t>
      </w:r>
      <w:r w:rsidRPr="00C43543">
        <w:rPr>
          <w:i/>
          <w:iCs/>
          <w:szCs w:val="28"/>
          <w14:ligatures w14:val="standardContextual"/>
        </w:rPr>
        <w:t xml:space="preserve">.” </w:t>
      </w:r>
      <w:r w:rsidR="00D75B64" w:rsidRPr="00C43543">
        <w:rPr>
          <w:szCs w:val="28"/>
          <w14:ligatures w14:val="standardContextual"/>
        </w:rPr>
        <w:t xml:space="preserve">CP 16783. </w:t>
      </w:r>
      <w:r w:rsidRPr="00C43543">
        <w:rPr>
          <w:szCs w:val="28"/>
          <w14:ligatures w14:val="standardContextual"/>
        </w:rPr>
        <w:t xml:space="preserve">But “the application of accepted techniques to reach novel conclusions does not raise </w:t>
      </w:r>
      <w:r w:rsidRPr="00C43543">
        <w:rPr>
          <w:i/>
          <w:iCs/>
          <w:szCs w:val="28"/>
          <w14:ligatures w14:val="standardContextual"/>
        </w:rPr>
        <w:t>Frye</w:t>
      </w:r>
      <w:r w:rsidRPr="00C43543">
        <w:rPr>
          <w:szCs w:val="28"/>
          <w14:ligatures w14:val="standardContextual"/>
        </w:rPr>
        <w:t xml:space="preserve"> concerns.” </w:t>
      </w:r>
      <w:proofErr w:type="spellStart"/>
      <w:r w:rsidRPr="00C43543">
        <w:rPr>
          <w:i/>
          <w:iCs/>
          <w:szCs w:val="28"/>
          <w14:ligatures w14:val="standardContextual"/>
        </w:rPr>
        <w:lastRenderedPageBreak/>
        <w:t>Lakey</w:t>
      </w:r>
      <w:proofErr w:type="spellEnd"/>
      <w:r w:rsidRPr="00C43543">
        <w:rPr>
          <w:szCs w:val="28"/>
          <w14:ligatures w14:val="standardContextual"/>
        </w:rPr>
        <w:t>, 176 Wn.2d at 919</w:t>
      </w:r>
      <w:r w:rsidR="007A6A22" w:rsidRPr="00C43543">
        <w:rPr>
          <w:szCs w:val="28"/>
          <w14:ligatures w14:val="standardContextual"/>
        </w:rPr>
        <w:fldChar w:fldCharType="begin"/>
      </w:r>
      <w:r w:rsidR="007A6A22" w:rsidRPr="00C43543">
        <w:rPr>
          <w:szCs w:val="28"/>
          <w14:ligatures w14:val="standardContextual"/>
        </w:rPr>
        <w:instrText xml:space="preserve"> TA \s "Lakey v. Puget Sound, 176 Wn.2d 909" </w:instrText>
      </w:r>
      <w:r w:rsidR="007A6A22" w:rsidRPr="00C43543">
        <w:rPr>
          <w:szCs w:val="28"/>
          <w14:ligatures w14:val="standardContextual"/>
        </w:rPr>
        <w:fldChar w:fldCharType="end"/>
      </w:r>
      <w:r w:rsidRPr="00C43543">
        <w:rPr>
          <w:szCs w:val="28"/>
          <w14:ligatures w14:val="standardContextual"/>
        </w:rPr>
        <w:t>. It merely goes to the weight to give to the evidence—a question</w:t>
      </w:r>
      <w:r w:rsidR="00F46D85" w:rsidRPr="00C43543">
        <w:rPr>
          <w:szCs w:val="28"/>
          <w14:ligatures w14:val="standardContextual"/>
        </w:rPr>
        <w:t xml:space="preserve"> the jury decides</w:t>
      </w:r>
      <w:r w:rsidRPr="00C43543">
        <w:rPr>
          <w:szCs w:val="28"/>
          <w14:ligatures w14:val="standardContextual"/>
        </w:rPr>
        <w:t xml:space="preserve">. </w:t>
      </w:r>
    </w:p>
    <w:p w14:paraId="5030FC13" w14:textId="7B8A4FC0" w:rsidR="00123D75" w:rsidRPr="00C43543" w:rsidRDefault="00123D75" w:rsidP="00FC3399">
      <w:pPr>
        <w:pStyle w:val="Heading4"/>
        <w:numPr>
          <w:ilvl w:val="0"/>
          <w:numId w:val="58"/>
        </w:numPr>
        <w:rPr>
          <w:rFonts w:ascii="Adobe Garamond Pro" w:hAnsi="Adobe Garamond Pro"/>
          <w14:ligatures w14:val="standardContextual"/>
        </w:rPr>
      </w:pPr>
      <w:bookmarkStart w:id="68" w:name="_Toc109728352"/>
      <w:r w:rsidRPr="00C43543">
        <w:rPr>
          <w:rFonts w:ascii="Adobe Garamond Pro" w:hAnsi="Adobe Garamond Pro"/>
          <w14:ligatures w14:val="standardContextual"/>
        </w:rPr>
        <w:t>Coghlan’s exposure opinions</w:t>
      </w:r>
      <w:r w:rsidR="009006E6" w:rsidRPr="00C43543">
        <w:rPr>
          <w:rFonts w:ascii="Adobe Garamond Pro" w:hAnsi="Adobe Garamond Pro"/>
          <w14:ligatures w14:val="standardContextual"/>
        </w:rPr>
        <w:t xml:space="preserve"> </w:t>
      </w:r>
      <w:r w:rsidRPr="00C43543">
        <w:rPr>
          <w:rFonts w:ascii="Adobe Garamond Pro" w:hAnsi="Adobe Garamond Pro"/>
          <w14:ligatures w14:val="standardContextual"/>
        </w:rPr>
        <w:t>are based on generally accepted scientific theories and techniques.</w:t>
      </w:r>
      <w:bookmarkEnd w:id="68"/>
      <w:r w:rsidRPr="00C43543">
        <w:rPr>
          <w:rFonts w:ascii="Adobe Garamond Pro" w:hAnsi="Adobe Garamond Pro"/>
          <w14:ligatures w14:val="standardContextual"/>
        </w:rPr>
        <w:t xml:space="preserve"> </w:t>
      </w:r>
    </w:p>
    <w:p w14:paraId="0243421E" w14:textId="77777777" w:rsidR="00123D75" w:rsidRPr="00C43543" w:rsidRDefault="00123D75" w:rsidP="00123D75">
      <w:pPr>
        <w:pStyle w:val="BodyText"/>
        <w:rPr>
          <w:szCs w:val="28"/>
          <w14:ligatures w14:val="standardContextual"/>
        </w:rPr>
      </w:pPr>
      <w:r w:rsidRPr="00C43543">
        <w:rPr>
          <w:szCs w:val="28"/>
          <w14:ligatures w14:val="standardContextual"/>
        </w:rPr>
        <w:t xml:space="preserve">Monsanto argues that the methods that Coghlan used to estimate PCB levels do not reflect “generally accepted” science, and so his opinion fails </w:t>
      </w:r>
      <w:r w:rsidRPr="00C43543">
        <w:rPr>
          <w:i/>
          <w:iCs/>
          <w:szCs w:val="28"/>
          <w14:ligatures w14:val="standardContextual"/>
        </w:rPr>
        <w:t>Frye</w:t>
      </w:r>
      <w:r w:rsidRPr="00C43543">
        <w:rPr>
          <w:szCs w:val="28"/>
          <w14:ligatures w14:val="standardContextual"/>
        </w:rPr>
        <w:t>. Br. 72-83, 87-95. The company is wrong.</w:t>
      </w:r>
    </w:p>
    <w:p w14:paraId="694C2AE0" w14:textId="2CF7EA2D" w:rsidR="00123D75" w:rsidRPr="00C43543" w:rsidRDefault="00123D75" w:rsidP="00123D75">
      <w:pPr>
        <w:pStyle w:val="BodyText"/>
        <w:rPr>
          <w:b/>
          <w:bCs/>
          <w:color w:val="7030A0"/>
          <w:szCs w:val="28"/>
          <w14:ligatures w14:val="standardContextual"/>
        </w:rPr>
      </w:pPr>
      <w:r w:rsidRPr="00C43543">
        <w:rPr>
          <w:b/>
          <w:bCs/>
          <w:szCs w:val="28"/>
          <w14:ligatures w14:val="standardContextual"/>
        </w:rPr>
        <w:tab/>
        <w:t xml:space="preserve">1. </w:t>
      </w:r>
      <w:r w:rsidRPr="00C43543">
        <w:rPr>
          <w:szCs w:val="28"/>
          <w14:ligatures w14:val="standardContextual"/>
        </w:rPr>
        <w:t>Monsanto’s primary obsession on appeal is what it describes as Coghlan’s “carpet back-calculation” methodology. This method is based on the established theory of source-sink dynamics, which investigates “the mechanisms by which PCBs [or other toxic substances] may transfer or migrate from primary sources to other building materials or ‘sinks.</w:t>
      </w:r>
      <w:r w:rsidR="00D75B64" w:rsidRPr="00C43543">
        <w:rPr>
          <w:szCs w:val="28"/>
          <w14:ligatures w14:val="standardContextual"/>
        </w:rPr>
        <w:t>’</w:t>
      </w:r>
      <w:r w:rsidRPr="00C43543">
        <w:rPr>
          <w:szCs w:val="28"/>
          <w14:ligatures w14:val="standardContextual"/>
        </w:rPr>
        <w:t xml:space="preserve">” CP 18294; </w:t>
      </w:r>
      <w:r w:rsidRPr="00C43543">
        <w:rPr>
          <w:i/>
          <w:iCs/>
          <w:szCs w:val="28"/>
          <w14:ligatures w14:val="standardContextual"/>
        </w:rPr>
        <w:t xml:space="preserve">see </w:t>
      </w:r>
      <w:r w:rsidRPr="00C43543">
        <w:rPr>
          <w:szCs w:val="28"/>
          <w14:ligatures w14:val="standardContextual"/>
        </w:rPr>
        <w:t xml:space="preserve">CP 7451-52, 18294-307; Tr. 1750-51. The approach is grounded in </w:t>
      </w:r>
      <w:r w:rsidR="00F46D85" w:rsidRPr="00C43543">
        <w:rPr>
          <w:szCs w:val="28"/>
          <w14:ligatures w14:val="standardContextual"/>
        </w:rPr>
        <w:t>a tenet of fluid dynamics</w:t>
      </w:r>
      <w:r w:rsidRPr="00C43543">
        <w:rPr>
          <w:szCs w:val="28"/>
          <w14:ligatures w14:val="standardContextual"/>
        </w:rPr>
        <w:t xml:space="preserve"> that “the levels of a contaminant in the air and in a </w:t>
      </w:r>
      <w:proofErr w:type="gramStart"/>
      <w:r w:rsidRPr="00C43543">
        <w:rPr>
          <w:szCs w:val="28"/>
          <w14:ligatures w14:val="standardContextual"/>
        </w:rPr>
        <w:t>sink</w:t>
      </w:r>
      <w:proofErr w:type="gramEnd"/>
      <w:r w:rsidRPr="00C43543">
        <w:rPr>
          <w:szCs w:val="28"/>
          <w14:ligatures w14:val="standardContextual"/>
        </w:rPr>
        <w:t xml:space="preserve"> material are inextricably linked.” CP 7452. </w:t>
      </w:r>
      <w:r w:rsidR="00F46D85" w:rsidRPr="00C43543">
        <w:rPr>
          <w:szCs w:val="28"/>
          <w14:ligatures w14:val="standardContextual"/>
        </w:rPr>
        <w:t xml:space="preserve">Thus, a </w:t>
      </w:r>
      <w:r w:rsidRPr="00C43543">
        <w:rPr>
          <w:szCs w:val="28"/>
          <w14:ligatures w14:val="standardContextual"/>
        </w:rPr>
        <w:t>material (brick, tile, carpet) will passively collect PCBs from surrounding air by</w:t>
      </w:r>
      <w:r w:rsidR="00D31F55" w:rsidRPr="00C43543">
        <w:rPr>
          <w:szCs w:val="28"/>
          <w14:ligatures w14:val="standardContextual"/>
        </w:rPr>
        <w:t xml:space="preserve"> mass-transfer </w:t>
      </w:r>
      <w:r w:rsidRPr="00C43543">
        <w:rPr>
          <w:szCs w:val="28"/>
          <w14:ligatures w14:val="standardContextual"/>
        </w:rPr>
        <w:t xml:space="preserve">processes known as advection and diffusion. CP 11561-62. Although the science </w:t>
      </w:r>
      <w:r w:rsidR="00F46D85" w:rsidRPr="00C43543">
        <w:rPr>
          <w:szCs w:val="28"/>
          <w14:ligatures w14:val="standardContextual"/>
        </w:rPr>
        <w:t xml:space="preserve">of particulate </w:t>
      </w:r>
      <w:r w:rsidRPr="00C43543">
        <w:rPr>
          <w:szCs w:val="28"/>
          <w14:ligatures w14:val="standardContextual"/>
        </w:rPr>
        <w:t xml:space="preserve">concentration </w:t>
      </w:r>
      <w:r w:rsidR="00F46D85" w:rsidRPr="00C43543">
        <w:rPr>
          <w:szCs w:val="28"/>
          <w14:ligatures w14:val="standardContextual"/>
        </w:rPr>
        <w:t>is</w:t>
      </w:r>
      <w:r w:rsidRPr="00C43543">
        <w:rPr>
          <w:szCs w:val="28"/>
          <w14:ligatures w14:val="standardContextual"/>
        </w:rPr>
        <w:t xml:space="preserve"> complex, anyone who has spent time in a smoky bar has experienced the </w:t>
      </w:r>
      <w:r w:rsidRPr="00C43543">
        <w:rPr>
          <w:szCs w:val="28"/>
          <w14:ligatures w14:val="standardContextual"/>
        </w:rPr>
        <w:lastRenderedPageBreak/>
        <w:t xml:space="preserve">principles in action: </w:t>
      </w:r>
      <w:r w:rsidR="00F7339C">
        <w:rPr>
          <w:szCs w:val="28"/>
          <w14:ligatures w14:val="standardContextual"/>
        </w:rPr>
        <w:t>T</w:t>
      </w:r>
      <w:r w:rsidRPr="00C43543">
        <w:rPr>
          <w:szCs w:val="28"/>
          <w14:ligatures w14:val="standardContextual"/>
        </w:rPr>
        <w:t xml:space="preserve">he more smoke in the room, the more one’s clothes will smell upon leaving. </w:t>
      </w:r>
      <w:r w:rsidRPr="00C43543">
        <w:rPr>
          <w:i/>
          <w:iCs/>
          <w:szCs w:val="28"/>
          <w14:ligatures w14:val="standardContextual"/>
        </w:rPr>
        <w:t xml:space="preserve">See </w:t>
      </w:r>
      <w:r w:rsidRPr="00C43543">
        <w:rPr>
          <w:szCs w:val="28"/>
          <w14:ligatures w14:val="standardContextual"/>
        </w:rPr>
        <w:t xml:space="preserve">Tr. 1795. </w:t>
      </w:r>
    </w:p>
    <w:p w14:paraId="2A15B323" w14:textId="3DDF91F2" w:rsidR="00123D75" w:rsidRPr="00C43543" w:rsidRDefault="00123D75" w:rsidP="00123D75">
      <w:pPr>
        <w:pStyle w:val="BodyText"/>
        <w:rPr>
          <w:szCs w:val="28"/>
          <w14:ligatures w14:val="standardContextual"/>
        </w:rPr>
      </w:pPr>
      <w:r w:rsidRPr="00C43543">
        <w:rPr>
          <w:szCs w:val="28"/>
          <w14:ligatures w14:val="standardContextual"/>
        </w:rPr>
        <w:tab/>
        <w:t xml:space="preserve">Coghlan applied these source-sink principles to Sky Valley carpet samples removed in 2015 before the school’s remediation </w:t>
      </w:r>
      <w:r w:rsidR="00E80B01" w:rsidRPr="00C43543">
        <w:rPr>
          <w:szCs w:val="28"/>
          <w14:ligatures w14:val="standardContextual"/>
        </w:rPr>
        <w:t>was</w:t>
      </w:r>
      <w:r w:rsidRPr="00C43543">
        <w:rPr>
          <w:szCs w:val="28"/>
          <w14:ligatures w14:val="standardContextual"/>
        </w:rPr>
        <w:t xml:space="preserve"> complete. Using an EPA study that modeled how PCBs in the air deposited onto materials,</w:t>
      </w:r>
      <w:r w:rsidRPr="00C43543">
        <w:rPr>
          <w:rStyle w:val="FootnoteReference"/>
          <w:szCs w:val="28"/>
          <w14:ligatures w14:val="standardContextual"/>
        </w:rPr>
        <w:footnoteReference w:id="18"/>
      </w:r>
      <w:r w:rsidRPr="00C43543">
        <w:rPr>
          <w:szCs w:val="28"/>
          <w14:ligatures w14:val="standardContextual"/>
        </w:rPr>
        <w:t xml:space="preserve"> Coghlan measured the PCB levels in the carpet samples and then reconstructed the levels in the air. </w:t>
      </w:r>
      <w:r w:rsidRPr="00C43543">
        <w:rPr>
          <w:i/>
          <w:iCs/>
          <w:szCs w:val="28"/>
          <w14:ligatures w14:val="standardContextual"/>
        </w:rPr>
        <w:t>See</w:t>
      </w:r>
      <w:r w:rsidRPr="00C43543">
        <w:rPr>
          <w:szCs w:val="28"/>
          <w14:ligatures w14:val="standardContextual"/>
        </w:rPr>
        <w:t xml:space="preserve"> CP 11558-74 (detailing this analytical process). These calculations revealed that the “air values at [Sky Valley]” in late 2015—after substantial remediation was completed—still “likely ranged from 340 to 9,500 ng/m</w:t>
      </w:r>
      <w:r w:rsidR="00F7339C" w:rsidRPr="00801DC8">
        <w:rPr>
          <w:vertAlign w:val="superscript"/>
        </w:rPr>
        <w:t>3</w:t>
      </w:r>
      <w:r w:rsidRPr="00C43543">
        <w:rPr>
          <w:szCs w:val="28"/>
          <w14:ligatures w14:val="standardContextual"/>
        </w:rPr>
        <w:t xml:space="preserve">.” CP 18269, 18360. That “conservative” range far exceeded safe exposure limits. Tr. 1798-99, 1814.  </w:t>
      </w:r>
    </w:p>
    <w:p w14:paraId="1D861571" w14:textId="39B7CD83" w:rsidR="00123D75" w:rsidRPr="00C43543" w:rsidRDefault="00123D75" w:rsidP="00123D75">
      <w:pPr>
        <w:pStyle w:val="BodyText"/>
        <w:rPr>
          <w:szCs w:val="28"/>
          <w14:ligatures w14:val="standardContextual"/>
        </w:rPr>
      </w:pPr>
      <w:r w:rsidRPr="00C43543">
        <w:rPr>
          <w:szCs w:val="28"/>
          <w14:ligatures w14:val="standardContextual"/>
        </w:rPr>
        <w:tab/>
        <w:t>In attacking Coghlan’s analysis, Monsanto doesn’t question the underlying scien</w:t>
      </w:r>
      <w:r w:rsidR="00E80B01" w:rsidRPr="00C43543">
        <w:rPr>
          <w:szCs w:val="28"/>
          <w14:ligatures w14:val="standardContextual"/>
        </w:rPr>
        <w:t>ce</w:t>
      </w:r>
      <w:r w:rsidRPr="00C43543">
        <w:rPr>
          <w:szCs w:val="28"/>
          <w14:ligatures w14:val="standardContextual"/>
        </w:rPr>
        <w:t xml:space="preserve"> of source-sink dynamics. Nor does it criticize the published and peer-reviewed EPA study on which Coghlan relied. Instead, Monsanto argues that Coghlan’s analysis violated </w:t>
      </w:r>
      <w:r w:rsidRPr="00C43543">
        <w:rPr>
          <w:i/>
          <w:iCs/>
          <w:szCs w:val="28"/>
          <w14:ligatures w14:val="standardContextual"/>
        </w:rPr>
        <w:t>Frye</w:t>
      </w:r>
      <w:r w:rsidRPr="00C43543">
        <w:rPr>
          <w:szCs w:val="28"/>
          <w14:ligatures w14:val="standardContextual"/>
        </w:rPr>
        <w:t xml:space="preserve"> because he “reversed” the EPA study’s model: While the study </w:t>
      </w:r>
      <w:r w:rsidRPr="00C43543">
        <w:rPr>
          <w:szCs w:val="28"/>
          <w14:ligatures w14:val="standardContextual"/>
        </w:rPr>
        <w:lastRenderedPageBreak/>
        <w:t xml:space="preserve">estimated PCB deposits on materials based on known PCB </w:t>
      </w:r>
      <w:r w:rsidR="00E80B01" w:rsidRPr="00C43543">
        <w:rPr>
          <w:szCs w:val="28"/>
          <w14:ligatures w14:val="standardContextual"/>
        </w:rPr>
        <w:t xml:space="preserve">air </w:t>
      </w:r>
      <w:r w:rsidRPr="00C43543">
        <w:rPr>
          <w:szCs w:val="28"/>
          <w14:ligatures w14:val="standardContextual"/>
        </w:rPr>
        <w:t>levels, Coghlan estimated PCB air levels based on the PCB deposits measured in the carpet samples. Br. 75-81.</w:t>
      </w:r>
    </w:p>
    <w:p w14:paraId="3BF14DB8" w14:textId="6CAAA10C" w:rsidR="00123D75" w:rsidRPr="00C43543" w:rsidRDefault="00123D75" w:rsidP="00123D75">
      <w:pPr>
        <w:pStyle w:val="BodyText"/>
        <w:rPr>
          <w:szCs w:val="28"/>
          <w14:ligatures w14:val="standardContextual"/>
        </w:rPr>
      </w:pPr>
      <w:r w:rsidRPr="00C43543">
        <w:rPr>
          <w:szCs w:val="28"/>
          <w14:ligatures w14:val="standardContextual"/>
        </w:rPr>
        <w:tab/>
      </w:r>
      <w:r w:rsidR="009006E6" w:rsidRPr="00C43543">
        <w:rPr>
          <w:szCs w:val="28"/>
          <w14:ligatures w14:val="standardContextual"/>
        </w:rPr>
        <w:t>This misunderstands</w:t>
      </w:r>
      <w:r w:rsidRPr="00C43543">
        <w:rPr>
          <w:szCs w:val="28"/>
          <w14:ligatures w14:val="standardContextual"/>
        </w:rPr>
        <w:t xml:space="preserve"> the </w:t>
      </w:r>
      <w:r w:rsidRPr="00C43543">
        <w:rPr>
          <w:i/>
          <w:iCs/>
          <w:szCs w:val="28"/>
          <w14:ligatures w14:val="standardContextual"/>
        </w:rPr>
        <w:t xml:space="preserve">Frye </w:t>
      </w:r>
      <w:r w:rsidRPr="00C43543">
        <w:rPr>
          <w:szCs w:val="28"/>
          <w14:ligatures w14:val="standardContextual"/>
        </w:rPr>
        <w:t xml:space="preserve">inquiry. </w:t>
      </w:r>
      <w:r w:rsidRPr="00C43543">
        <w:rPr>
          <w:i/>
          <w:iCs/>
          <w:szCs w:val="28"/>
          <w14:ligatures w14:val="standardContextual"/>
        </w:rPr>
        <w:t xml:space="preserve">Frye </w:t>
      </w:r>
      <w:r w:rsidR="009006E6" w:rsidRPr="00C43543">
        <w:rPr>
          <w:szCs w:val="28"/>
          <w14:ligatures w14:val="standardContextual"/>
        </w:rPr>
        <w:t>asks only</w:t>
      </w:r>
      <w:r w:rsidRPr="00C43543">
        <w:rPr>
          <w:szCs w:val="28"/>
          <w14:ligatures w14:val="standardContextual"/>
        </w:rPr>
        <w:t xml:space="preserve"> whether the expert’s scientific theory is generally accepted. And here, as the trial court recognized, “the scientific principles behind Mr. Coghlan’s analysis were well-established</w:t>
      </w:r>
      <w:r w:rsidR="009006E6" w:rsidRPr="00C43543">
        <w:rPr>
          <w:szCs w:val="28"/>
          <w14:ligatures w14:val="standardContextual"/>
        </w:rPr>
        <w:t>”:</w:t>
      </w:r>
      <w:r w:rsidRPr="00C43543">
        <w:rPr>
          <w:szCs w:val="28"/>
          <w14:ligatures w14:val="standardContextual"/>
        </w:rPr>
        <w:t xml:space="preserve"> </w:t>
      </w:r>
      <w:r w:rsidR="00D53FF3" w:rsidRPr="00C43543">
        <w:rPr>
          <w:szCs w:val="28"/>
          <w14:ligatures w14:val="standardContextual"/>
        </w:rPr>
        <w:t>H</w:t>
      </w:r>
      <w:r w:rsidR="009006E6" w:rsidRPr="00C43543">
        <w:rPr>
          <w:szCs w:val="28"/>
          <w14:ligatures w14:val="standardContextual"/>
        </w:rPr>
        <w:t>e</w:t>
      </w:r>
      <w:r w:rsidRPr="00C43543">
        <w:rPr>
          <w:szCs w:val="28"/>
          <w14:ligatures w14:val="standardContextual"/>
        </w:rPr>
        <w:t xml:space="preserve"> took an “established formula” right out of a</w:t>
      </w:r>
      <w:r w:rsidR="00E80B01" w:rsidRPr="00C43543">
        <w:rPr>
          <w:szCs w:val="28"/>
          <w14:ligatures w14:val="standardContextual"/>
        </w:rPr>
        <w:t xml:space="preserve">n </w:t>
      </w:r>
      <w:r w:rsidRPr="00C43543">
        <w:rPr>
          <w:szCs w:val="28"/>
          <w14:ligatures w14:val="standardContextual"/>
        </w:rPr>
        <w:t>EP</w:t>
      </w:r>
      <w:r w:rsidR="00E80B01" w:rsidRPr="00C43543">
        <w:rPr>
          <w:szCs w:val="28"/>
          <w14:ligatures w14:val="standardContextual"/>
        </w:rPr>
        <w:t>A study</w:t>
      </w:r>
      <w:r w:rsidRPr="00C43543">
        <w:rPr>
          <w:szCs w:val="28"/>
          <w14:ligatures w14:val="standardContextual"/>
        </w:rPr>
        <w:t xml:space="preserve"> that Monsanto acknowledges is valid and generally accepted. CP 16893. </w:t>
      </w:r>
    </w:p>
    <w:p w14:paraId="333F5221" w14:textId="594B37C0" w:rsidR="00123D75" w:rsidRPr="00C43543" w:rsidRDefault="00123D75" w:rsidP="00123D75">
      <w:pPr>
        <w:pStyle w:val="BodyText"/>
        <w:rPr>
          <w:szCs w:val="28"/>
          <w14:ligatures w14:val="standardContextual"/>
        </w:rPr>
      </w:pPr>
      <w:r w:rsidRPr="00C43543">
        <w:rPr>
          <w:szCs w:val="28"/>
          <w14:ligatures w14:val="standardContextual"/>
        </w:rPr>
        <w:t xml:space="preserve">That Coghlan reversed the formula from that study—using simple algebra, </w:t>
      </w:r>
      <w:r w:rsidRPr="00C43543">
        <w:rPr>
          <w:i/>
          <w:iCs/>
          <w:szCs w:val="28"/>
          <w14:ligatures w14:val="standardContextual"/>
        </w:rPr>
        <w:t xml:space="preserve">see </w:t>
      </w:r>
      <w:r w:rsidRPr="00C43543">
        <w:rPr>
          <w:szCs w:val="28"/>
          <w14:ligatures w14:val="standardContextual"/>
        </w:rPr>
        <w:t xml:space="preserve">CP 11559-60—does not mean that he invented a “novel” theory or methodology. The </w:t>
      </w:r>
      <w:r w:rsidRPr="00C43543">
        <w:rPr>
          <w:i/>
          <w:iCs/>
          <w:szCs w:val="28"/>
          <w14:ligatures w14:val="standardContextual"/>
        </w:rPr>
        <w:t>Frye</w:t>
      </w:r>
      <w:r w:rsidRPr="00C43543">
        <w:rPr>
          <w:szCs w:val="28"/>
          <w14:ligatures w14:val="standardContextual"/>
        </w:rPr>
        <w:t xml:space="preserve"> test does not require that “</w:t>
      </w:r>
      <w:r w:rsidRPr="00C43543">
        <w:rPr>
          <w:i/>
          <w:iCs/>
          <w:szCs w:val="28"/>
          <w14:ligatures w14:val="standardContextual"/>
        </w:rPr>
        <w:t>every</w:t>
      </w:r>
      <w:r w:rsidRPr="00C43543">
        <w:rPr>
          <w:szCs w:val="28"/>
          <w14:ligatures w14:val="standardContextual"/>
        </w:rPr>
        <w:t xml:space="preserve"> deduction [that an expert makes to be] drawn from generally accepted theories” be generally accepted in the scientific community. </w:t>
      </w:r>
      <w:r w:rsidRPr="00C43543">
        <w:rPr>
          <w:i/>
          <w:iCs/>
          <w:szCs w:val="28"/>
          <w14:ligatures w14:val="standardContextual"/>
        </w:rPr>
        <w:t>Anderson</w:t>
      </w:r>
      <w:r w:rsidRPr="00C43543">
        <w:rPr>
          <w:szCs w:val="28"/>
          <w14:ligatures w14:val="standardContextual"/>
        </w:rPr>
        <w:t>, 172 Wn.2d at 611</w:t>
      </w:r>
      <w:r w:rsidR="00D361B6" w:rsidRPr="00C43543">
        <w:rPr>
          <w:szCs w:val="28"/>
          <w14:ligatures w14:val="standardContextual"/>
        </w:rPr>
        <w:fldChar w:fldCharType="begin"/>
      </w:r>
      <w:r w:rsidR="00D361B6" w:rsidRPr="00C43543">
        <w:rPr>
          <w:szCs w:val="28"/>
          <w14:ligatures w14:val="standardContextual"/>
        </w:rPr>
        <w:instrText xml:space="preserve"> TA \s "Anderson v. Akzo, 172 Wn.2d 593" </w:instrText>
      </w:r>
      <w:r w:rsidR="00D361B6" w:rsidRPr="00C43543">
        <w:rPr>
          <w:szCs w:val="28"/>
          <w14:ligatures w14:val="standardContextual"/>
        </w:rPr>
        <w:fldChar w:fldCharType="end"/>
      </w:r>
      <w:r w:rsidRPr="00C43543">
        <w:rPr>
          <w:szCs w:val="28"/>
          <w14:ligatures w14:val="standardContextual"/>
        </w:rPr>
        <w:t xml:space="preserve"> (emphasis added). Yet that is all that Monsanto is concerned with here: Coghlan’s “deduction” that if known air PCB levels can be used to model deposits in materials, the reverse is also possible. Nothing about that deduction violates the </w:t>
      </w:r>
      <w:r w:rsidRPr="00C43543">
        <w:rPr>
          <w:i/>
          <w:iCs/>
          <w:szCs w:val="28"/>
          <w14:ligatures w14:val="standardContextual"/>
        </w:rPr>
        <w:t xml:space="preserve">Frye </w:t>
      </w:r>
      <w:r w:rsidRPr="00C43543">
        <w:rPr>
          <w:szCs w:val="28"/>
          <w14:ligatures w14:val="standardContextual"/>
        </w:rPr>
        <w:t xml:space="preserve">test. </w:t>
      </w:r>
      <w:r w:rsidRPr="00C43543">
        <w:rPr>
          <w:i/>
          <w:iCs/>
          <w:szCs w:val="28"/>
          <w14:ligatures w14:val="standardContextual"/>
        </w:rPr>
        <w:t>Cf. Hamilton</w:t>
      </w:r>
      <w:r w:rsidRPr="00C43543">
        <w:rPr>
          <w:szCs w:val="28"/>
          <w14:ligatures w14:val="standardContextual"/>
        </w:rPr>
        <w:t>, 193 Wn.2d at 131</w:t>
      </w:r>
      <w:r w:rsidR="00D361B6" w:rsidRPr="00C43543">
        <w:rPr>
          <w:szCs w:val="28"/>
          <w14:ligatures w14:val="standardContextual"/>
        </w:rPr>
        <w:fldChar w:fldCharType="begin"/>
      </w:r>
      <w:r w:rsidR="00D361B6" w:rsidRPr="00C43543">
        <w:rPr>
          <w:szCs w:val="28"/>
          <w14:ligatures w14:val="standardContextual"/>
        </w:rPr>
        <w:instrText xml:space="preserve"> TA \s "Dussault v. Hamilton, 193 Wn.2d 113" </w:instrText>
      </w:r>
      <w:r w:rsidR="00D361B6" w:rsidRPr="00C43543">
        <w:rPr>
          <w:szCs w:val="28"/>
          <w14:ligatures w14:val="standardContextual"/>
        </w:rPr>
        <w:fldChar w:fldCharType="end"/>
      </w:r>
      <w:r w:rsidRPr="00C43543">
        <w:rPr>
          <w:szCs w:val="28"/>
          <w14:ligatures w14:val="standardContextual"/>
        </w:rPr>
        <w:t>.</w:t>
      </w:r>
    </w:p>
    <w:p w14:paraId="1F3E7E01" w14:textId="6DEA4899" w:rsidR="00123D75" w:rsidRPr="00C43543" w:rsidRDefault="00123D75" w:rsidP="003508D9">
      <w:pPr>
        <w:pStyle w:val="BodyText"/>
        <w:rPr>
          <w:szCs w:val="28"/>
          <w14:ligatures w14:val="standardContextual"/>
        </w:rPr>
      </w:pPr>
      <w:r w:rsidRPr="00C43543">
        <w:rPr>
          <w:szCs w:val="28"/>
          <w14:ligatures w14:val="standardContextual"/>
        </w:rPr>
        <w:lastRenderedPageBreak/>
        <w:t xml:space="preserve">Put differently, Monsanto’s complaint is that Coghlan </w:t>
      </w:r>
      <w:r w:rsidRPr="00C43543">
        <w:rPr>
          <w:i/>
          <w:iCs/>
          <w:szCs w:val="28"/>
          <w14:ligatures w14:val="standardContextual"/>
        </w:rPr>
        <w:t>misapplied</w:t>
      </w:r>
      <w:r w:rsidRPr="00C43543">
        <w:rPr>
          <w:szCs w:val="28"/>
          <w14:ligatures w14:val="standardContextual"/>
        </w:rPr>
        <w:t xml:space="preserve"> source-sink dynamics by using the EPA’s model to estimate PCB air concentrations from known sink material deposits. But challenges that go to </w:t>
      </w:r>
      <w:r w:rsidR="003508D9" w:rsidRPr="00C43543">
        <w:rPr>
          <w:szCs w:val="28"/>
          <w14:ligatures w14:val="standardContextual"/>
        </w:rPr>
        <w:t xml:space="preserve">the “application” of “generally accepted . . . science to [a] particular case” is “a matter of weight,” not admissibility.” </w:t>
      </w:r>
      <w:r w:rsidR="003508D9" w:rsidRPr="00C43543">
        <w:rPr>
          <w:i/>
          <w:iCs/>
          <w:szCs w:val="28"/>
          <w14:ligatures w14:val="standardContextual"/>
        </w:rPr>
        <w:t>State v. Copeland</w:t>
      </w:r>
      <w:r w:rsidR="003508D9" w:rsidRPr="00C43543">
        <w:rPr>
          <w:szCs w:val="28"/>
          <w14:ligatures w14:val="standardContextual"/>
        </w:rPr>
        <w:t xml:space="preserve">, 130 </w:t>
      </w:r>
      <w:proofErr w:type="spellStart"/>
      <w:r w:rsidR="003508D9" w:rsidRPr="00C43543">
        <w:rPr>
          <w:szCs w:val="28"/>
          <w14:ligatures w14:val="standardContextual"/>
        </w:rPr>
        <w:t>Wn</w:t>
      </w:r>
      <w:proofErr w:type="spellEnd"/>
      <w:r w:rsidR="003508D9" w:rsidRPr="00C43543">
        <w:rPr>
          <w:szCs w:val="28"/>
          <w14:ligatures w14:val="standardContextual"/>
        </w:rPr>
        <w:t xml:space="preserve">. 2d 244, 272, 922 P.2d 1304 (1996); </w:t>
      </w:r>
      <w:r w:rsidRPr="00C43543">
        <w:rPr>
          <w:i/>
          <w:iCs/>
          <w:szCs w:val="28"/>
          <w14:ligatures w14:val="standardContextual"/>
        </w:rPr>
        <w:t xml:space="preserve">see </w:t>
      </w:r>
      <w:proofErr w:type="spellStart"/>
      <w:r w:rsidRPr="00C43543">
        <w:rPr>
          <w:szCs w:val="28"/>
          <w14:ligatures w14:val="standardContextual"/>
        </w:rPr>
        <w:t>Tegland</w:t>
      </w:r>
      <w:proofErr w:type="spellEnd"/>
      <w:r w:rsidRPr="00C43543">
        <w:rPr>
          <w:szCs w:val="28"/>
          <w14:ligatures w14:val="standardContextual"/>
        </w:rPr>
        <w:t xml:space="preserve">, 5B Wash. </w:t>
      </w:r>
      <w:proofErr w:type="spellStart"/>
      <w:r w:rsidRPr="00C43543">
        <w:rPr>
          <w:szCs w:val="28"/>
          <w14:ligatures w14:val="standardContextual"/>
        </w:rPr>
        <w:t>Prac</w:t>
      </w:r>
      <w:proofErr w:type="spellEnd"/>
      <w:r w:rsidRPr="00C43543">
        <w:rPr>
          <w:szCs w:val="28"/>
          <w14:ligatures w14:val="standardContextual"/>
        </w:rPr>
        <w:t>., Evidence Law and Practice § 702.19 (6th ed. 2020)</w:t>
      </w:r>
      <w:r w:rsidR="00D361B6" w:rsidRPr="00C43543">
        <w:rPr>
          <w:szCs w:val="28"/>
          <w14:ligatures w14:val="standardContextual"/>
        </w:rPr>
        <w:fldChar w:fldCharType="begin"/>
      </w:r>
      <w:r w:rsidR="00D361B6" w:rsidRPr="00C43543">
        <w:rPr>
          <w:szCs w:val="28"/>
          <w14:ligatures w14:val="standardContextual"/>
        </w:rPr>
        <w:instrText xml:space="preserve"> TA \l "Tegland, 5B Wash. Prac., Evidence Law and Practice § 702.19 (6th ed. 2020)" \s "Tegland, 5B Wash. Prac., Evidence Law and Practice § 702.19 (6th ed. 2020)" \c 3 </w:instrText>
      </w:r>
      <w:r w:rsidR="00D361B6" w:rsidRPr="00C43543">
        <w:rPr>
          <w:szCs w:val="28"/>
          <w14:ligatures w14:val="standardContextual"/>
        </w:rPr>
        <w:fldChar w:fldCharType="end"/>
      </w:r>
      <w:r w:rsidRPr="00C43543">
        <w:rPr>
          <w:szCs w:val="28"/>
          <w14:ligatures w14:val="standardContextual"/>
        </w:rPr>
        <w:t>. The trial court thus correctly rejected Monsanto’s argument.</w:t>
      </w:r>
      <w:r w:rsidRPr="00C43543">
        <w:rPr>
          <w:rStyle w:val="FootnoteReference"/>
          <w:szCs w:val="28"/>
          <w14:ligatures w14:val="standardContextual"/>
        </w:rPr>
        <w:footnoteReference w:id="19"/>
      </w:r>
    </w:p>
    <w:p w14:paraId="3B74A0D0" w14:textId="6CE99B8D" w:rsidR="00123D75" w:rsidRPr="00C43543" w:rsidRDefault="00123D75" w:rsidP="00123D75">
      <w:pPr>
        <w:pStyle w:val="BodyText"/>
        <w:rPr>
          <w:szCs w:val="28"/>
          <w14:ligatures w14:val="standardContextual"/>
        </w:rPr>
      </w:pPr>
      <w:r w:rsidRPr="00C43543">
        <w:rPr>
          <w:b/>
          <w:bCs/>
          <w:szCs w:val="28"/>
          <w14:ligatures w14:val="standardContextual"/>
        </w:rPr>
        <w:t xml:space="preserve">2. </w:t>
      </w:r>
      <w:r w:rsidRPr="00C43543">
        <w:rPr>
          <w:szCs w:val="28"/>
          <w14:ligatures w14:val="standardContextual"/>
        </w:rPr>
        <w:t>Monsanto’s attacks on Coghlan’s other estimate</w:t>
      </w:r>
      <w:r w:rsidR="00E80B01" w:rsidRPr="00C43543">
        <w:rPr>
          <w:szCs w:val="28"/>
          <w14:ligatures w14:val="standardContextual"/>
        </w:rPr>
        <w:t>s of</w:t>
      </w:r>
      <w:r w:rsidRPr="00C43543">
        <w:rPr>
          <w:szCs w:val="28"/>
          <w14:ligatures w14:val="standardContextual"/>
        </w:rPr>
        <w:t xml:space="preserve"> PCB exposure levels fare no better. </w:t>
      </w:r>
      <w:r w:rsidRPr="00C43543">
        <w:rPr>
          <w:i/>
          <w:iCs/>
          <w:szCs w:val="28"/>
          <w14:ligatures w14:val="standardContextual"/>
        </w:rPr>
        <w:t xml:space="preserve">See </w:t>
      </w:r>
      <w:r w:rsidRPr="00C43543">
        <w:rPr>
          <w:szCs w:val="28"/>
          <w14:ligatures w14:val="standardContextual"/>
        </w:rPr>
        <w:t>Br. 87-94.</w:t>
      </w:r>
    </w:p>
    <w:p w14:paraId="044A2B1A" w14:textId="5EE7B8CB" w:rsidR="00123D75" w:rsidRPr="00C43543" w:rsidRDefault="00123D75" w:rsidP="00123D75">
      <w:pPr>
        <w:pStyle w:val="BodyText"/>
        <w:rPr>
          <w:szCs w:val="28"/>
          <w14:ligatures w14:val="standardContextual"/>
        </w:rPr>
      </w:pPr>
      <w:r w:rsidRPr="00C43543">
        <w:rPr>
          <w:szCs w:val="28"/>
          <w14:ligatures w14:val="standardContextual"/>
        </w:rPr>
        <w:lastRenderedPageBreak/>
        <w:t>As noted, because there was no contemporaneous air-level data, Coghlan used “multiple approaches” that were mutually reinforcing to estimate the exposure levels for when the plaintiffs taught at the school. Tr. 1785. For instance, he used a well-regarded EPA study</w:t>
      </w:r>
      <w:r w:rsidRPr="00C43543">
        <w:rPr>
          <w:rStyle w:val="FootnoteReference"/>
          <w:szCs w:val="28"/>
          <w14:ligatures w14:val="standardContextual"/>
        </w:rPr>
        <w:footnoteReference w:id="20"/>
      </w:r>
      <w:r w:rsidRPr="00C43543">
        <w:rPr>
          <w:szCs w:val="28"/>
          <w14:ligatures w14:val="standardContextual"/>
        </w:rPr>
        <w:t xml:space="preserve"> analyzing pre-remediation and post-remediation PCB levels in comparable schools as a cross-check for the estimates he generated from the carpet samples. CP 18350-52, 18361-62. Focusing on data about the schools in the study that were “of similar vintage and use similar ventilation strategies as [Sky Valley],” CP 7456, Coghlan calculated a “remediation factor” to estimate the PCB levels at Sky Valley before it</w:t>
      </w:r>
      <w:r w:rsidR="00E80B01" w:rsidRPr="00C43543">
        <w:rPr>
          <w:szCs w:val="28"/>
          <w14:ligatures w14:val="standardContextual"/>
        </w:rPr>
        <w:t xml:space="preserve"> was remediated</w:t>
      </w:r>
      <w:r w:rsidRPr="00C43543">
        <w:rPr>
          <w:szCs w:val="28"/>
          <w14:ligatures w14:val="standardContextual"/>
        </w:rPr>
        <w:t xml:space="preserve">, </w:t>
      </w:r>
      <w:r w:rsidRPr="00C43543">
        <w:rPr>
          <w:i/>
          <w:iCs/>
          <w:szCs w:val="28"/>
          <w14:ligatures w14:val="standardContextual"/>
        </w:rPr>
        <w:t xml:space="preserve">see </w:t>
      </w:r>
      <w:r w:rsidRPr="00C43543">
        <w:rPr>
          <w:szCs w:val="28"/>
          <w14:ligatures w14:val="standardContextual"/>
        </w:rPr>
        <w:t>Tr. 1785-</w:t>
      </w:r>
      <w:r w:rsidR="00D53FF3" w:rsidRPr="00C43543">
        <w:rPr>
          <w:szCs w:val="28"/>
          <w14:ligatures w14:val="standardContextual"/>
        </w:rPr>
        <w:t>9</w:t>
      </w:r>
      <w:r w:rsidRPr="00C43543">
        <w:rPr>
          <w:szCs w:val="28"/>
          <w14:ligatures w14:val="standardContextual"/>
        </w:rPr>
        <w:t xml:space="preserve">0. And he applied that factor to samples from the 2016 air testing results—the very data Monsanto urged the jury to consider—to produce a range of possible estimates. </w:t>
      </w:r>
      <w:r w:rsidRPr="00C43543">
        <w:rPr>
          <w:i/>
          <w:iCs/>
          <w:szCs w:val="28"/>
          <w14:ligatures w14:val="standardContextual"/>
        </w:rPr>
        <w:t>See id.</w:t>
      </w:r>
    </w:p>
    <w:p w14:paraId="0B5AAFF0" w14:textId="77777777" w:rsidR="00517576" w:rsidRPr="00C43543" w:rsidRDefault="00123D75" w:rsidP="00123D75">
      <w:pPr>
        <w:pStyle w:val="BodyText"/>
        <w:rPr>
          <w:szCs w:val="28"/>
          <w14:ligatures w14:val="standardContextual"/>
        </w:rPr>
      </w:pPr>
      <w:r w:rsidRPr="00C43543">
        <w:rPr>
          <w:szCs w:val="28"/>
          <w14:ligatures w14:val="standardContextual"/>
        </w:rPr>
        <w:t xml:space="preserve">Again, Monsanto doesn’t challenge the peer-reviewed, published EPA study that Coghlan used to cross-check his estimates. Nor does Monsanto contend that it’s generally </w:t>
      </w:r>
      <w:r w:rsidRPr="00C43543">
        <w:rPr>
          <w:szCs w:val="28"/>
          <w14:ligatures w14:val="standardContextual"/>
        </w:rPr>
        <w:lastRenderedPageBreak/>
        <w:t xml:space="preserve">unreasonable to use comparable data from a gold-standard study as a benchmark. Instead, Monsanto argues (at 90-94) that Coghlan’s analysis was suspect because the schools in the study weren’t </w:t>
      </w:r>
      <w:proofErr w:type="gramStart"/>
      <w:r w:rsidRPr="00C43543">
        <w:rPr>
          <w:szCs w:val="28"/>
          <w14:ligatures w14:val="standardContextual"/>
        </w:rPr>
        <w:t>actually comparable</w:t>
      </w:r>
      <w:proofErr w:type="gramEnd"/>
      <w:r w:rsidRPr="00C43543">
        <w:rPr>
          <w:szCs w:val="28"/>
          <w14:ligatures w14:val="standardContextual"/>
        </w:rPr>
        <w:t xml:space="preserve">, and because Coghlan should have used averages instead of “singular” data points. </w:t>
      </w:r>
    </w:p>
    <w:p w14:paraId="2C642843" w14:textId="30EE432A" w:rsidR="00123D75" w:rsidRPr="00C43543" w:rsidRDefault="00123D75" w:rsidP="00123D75">
      <w:pPr>
        <w:pStyle w:val="BodyText"/>
        <w:rPr>
          <w:szCs w:val="28"/>
          <w14:ligatures w14:val="standardContextual"/>
        </w:rPr>
      </w:pPr>
      <w:r w:rsidRPr="00C43543">
        <w:rPr>
          <w:szCs w:val="28"/>
          <w14:ligatures w14:val="standardContextual"/>
        </w:rPr>
        <w:t xml:space="preserve">But, once again, Monsanto’s critiques go “not to the scientific theory but to how Mr. Coghlan applied that theory in this particular instance.” CP 16893; </w:t>
      </w:r>
      <w:r w:rsidRPr="00C43543">
        <w:rPr>
          <w:i/>
          <w:iCs/>
          <w:szCs w:val="28"/>
          <w14:ligatures w14:val="standardContextual"/>
        </w:rPr>
        <w:t xml:space="preserve">see </w:t>
      </w:r>
      <w:proofErr w:type="spellStart"/>
      <w:r w:rsidRPr="00C43543">
        <w:rPr>
          <w:i/>
          <w:iCs/>
          <w:szCs w:val="28"/>
          <w14:ligatures w14:val="standardContextual"/>
        </w:rPr>
        <w:t>Lakey</w:t>
      </w:r>
      <w:proofErr w:type="spellEnd"/>
      <w:r w:rsidRPr="00C43543">
        <w:rPr>
          <w:szCs w:val="28"/>
          <w14:ligatures w14:val="standardContextual"/>
        </w:rPr>
        <w:t>, 176 Wn.2d at 919</w:t>
      </w:r>
      <w:r w:rsidR="00D361B6" w:rsidRPr="00C43543">
        <w:rPr>
          <w:szCs w:val="28"/>
          <w14:ligatures w14:val="standardContextual"/>
        </w:rPr>
        <w:fldChar w:fldCharType="begin"/>
      </w:r>
      <w:r w:rsidR="00D361B6" w:rsidRPr="00C43543">
        <w:rPr>
          <w:szCs w:val="28"/>
          <w14:ligatures w14:val="standardContextual"/>
        </w:rPr>
        <w:instrText xml:space="preserve"> TA \s "Lakey v. Puget Sound, 176 Wn.2d 909" </w:instrText>
      </w:r>
      <w:r w:rsidR="00D361B6" w:rsidRPr="00C43543">
        <w:rPr>
          <w:szCs w:val="28"/>
          <w14:ligatures w14:val="standardContextual"/>
        </w:rPr>
        <w:fldChar w:fldCharType="end"/>
      </w:r>
      <w:r w:rsidRPr="00C43543">
        <w:rPr>
          <w:szCs w:val="28"/>
          <w14:ligatures w14:val="standardContextual"/>
        </w:rPr>
        <w:t>. Monsanto’s experts had the opportunity to testify that Coghlan improperly compared Sky Valley to the schools in the study, and Coghlan himself acknowledged that “the preference is to use sampling data from the actual environment.” CP 7456. Of course, that is exactly what he did by analyzing the carpet samples.</w:t>
      </w:r>
      <w:r w:rsidRPr="00C43543">
        <w:rPr>
          <w:rStyle w:val="FootnoteReference"/>
          <w:szCs w:val="28"/>
          <w14:ligatures w14:val="standardContextual"/>
        </w:rPr>
        <w:footnoteReference w:id="21"/>
      </w:r>
      <w:r w:rsidRPr="00C43543">
        <w:rPr>
          <w:szCs w:val="28"/>
          <w14:ligatures w14:val="standardContextual"/>
        </w:rPr>
        <w:t xml:space="preserve"> Regardless, the</w:t>
      </w:r>
      <w:r w:rsidR="00D31F55" w:rsidRPr="00C43543">
        <w:rPr>
          <w:szCs w:val="28"/>
          <w14:ligatures w14:val="standardContextual"/>
        </w:rPr>
        <w:t xml:space="preserve"> purported</w:t>
      </w:r>
      <w:r w:rsidRPr="00C43543">
        <w:rPr>
          <w:szCs w:val="28"/>
          <w14:ligatures w14:val="standardContextual"/>
        </w:rPr>
        <w:t xml:space="preserve"> deficiencies that Monsanto raises about Coghlan’s application of the EPA data just concern the weight of </w:t>
      </w:r>
      <w:r w:rsidRPr="00C43543">
        <w:rPr>
          <w:szCs w:val="28"/>
          <w14:ligatures w14:val="standardContextual"/>
        </w:rPr>
        <w:lastRenderedPageBreak/>
        <w:t xml:space="preserve">his testimony. </w:t>
      </w:r>
      <w:r w:rsidRPr="00C43543">
        <w:rPr>
          <w:i/>
          <w:iCs/>
          <w:szCs w:val="28"/>
          <w14:ligatures w14:val="standardContextual"/>
        </w:rPr>
        <w:t>See Anderson</w:t>
      </w:r>
      <w:r w:rsidRPr="00C43543">
        <w:rPr>
          <w:szCs w:val="28"/>
          <w14:ligatures w14:val="standardContextual"/>
        </w:rPr>
        <w:t>, 172 Wn.2d at 603</w:t>
      </w:r>
      <w:r w:rsidR="00D361B6" w:rsidRPr="00C43543">
        <w:rPr>
          <w:szCs w:val="28"/>
          <w14:ligatures w14:val="standardContextual"/>
        </w:rPr>
        <w:fldChar w:fldCharType="begin"/>
      </w:r>
      <w:r w:rsidR="00D361B6" w:rsidRPr="00C43543">
        <w:rPr>
          <w:szCs w:val="28"/>
          <w14:ligatures w14:val="standardContextual"/>
        </w:rPr>
        <w:instrText xml:space="preserve"> TA \s "Anderson v. Akzo, 172 Wn.2d 593" </w:instrText>
      </w:r>
      <w:r w:rsidR="00D361B6" w:rsidRPr="00C43543">
        <w:rPr>
          <w:szCs w:val="28"/>
          <w14:ligatures w14:val="standardContextual"/>
        </w:rPr>
        <w:fldChar w:fldCharType="end"/>
      </w:r>
      <w:r w:rsidRPr="00C43543">
        <w:rPr>
          <w:szCs w:val="28"/>
          <w14:ligatures w14:val="standardContextual"/>
        </w:rPr>
        <w:t>. The jury was more than capable of deciding that issue.</w:t>
      </w:r>
      <w:r w:rsidRPr="00C43543">
        <w:rPr>
          <w:rStyle w:val="FootnoteReference"/>
          <w:szCs w:val="28"/>
          <w14:ligatures w14:val="standardContextual"/>
        </w:rPr>
        <w:t xml:space="preserve"> </w:t>
      </w:r>
    </w:p>
    <w:p w14:paraId="19696570" w14:textId="77777777" w:rsidR="00123D75" w:rsidRPr="00C43543" w:rsidRDefault="00123D75" w:rsidP="00FC3399">
      <w:pPr>
        <w:pStyle w:val="Heading4"/>
        <w:rPr>
          <w:rFonts w:ascii="Adobe Garamond Pro" w:hAnsi="Adobe Garamond Pro"/>
          <w14:ligatures w14:val="standardContextual"/>
        </w:rPr>
      </w:pPr>
      <w:bookmarkStart w:id="69" w:name="_Toc109728353"/>
      <w:r w:rsidRPr="00C43543">
        <w:rPr>
          <w:rFonts w:ascii="Adobe Garamond Pro" w:hAnsi="Adobe Garamond Pro"/>
          <w14:ligatures w14:val="standardContextual"/>
        </w:rPr>
        <w:t>Coghlan’s opinions are admissible under ER 702.</w:t>
      </w:r>
      <w:bookmarkEnd w:id="69"/>
    </w:p>
    <w:p w14:paraId="7B653E05" w14:textId="2736D82C" w:rsidR="00123D75" w:rsidRPr="00C43543" w:rsidRDefault="00123D75" w:rsidP="00123D75">
      <w:pPr>
        <w:pStyle w:val="BodyText"/>
        <w:rPr>
          <w:szCs w:val="28"/>
          <w14:ligatures w14:val="standardContextual"/>
        </w:rPr>
      </w:pPr>
      <w:r w:rsidRPr="00C43543">
        <w:rPr>
          <w:szCs w:val="28"/>
          <w14:ligatures w14:val="standardContextual"/>
        </w:rPr>
        <w:t xml:space="preserve">In addition to its </w:t>
      </w:r>
      <w:r w:rsidRPr="00C43543">
        <w:rPr>
          <w:i/>
          <w:iCs/>
          <w:szCs w:val="28"/>
          <w14:ligatures w14:val="standardContextual"/>
        </w:rPr>
        <w:t>Frye</w:t>
      </w:r>
      <w:r w:rsidRPr="00C43543">
        <w:rPr>
          <w:szCs w:val="28"/>
          <w14:ligatures w14:val="standardContextual"/>
        </w:rPr>
        <w:t xml:space="preserve">-based objections, Monsanto argues that the trial court abused its discretion </w:t>
      </w:r>
      <w:r w:rsidR="00517576" w:rsidRPr="00C43543">
        <w:rPr>
          <w:szCs w:val="28"/>
          <w14:ligatures w14:val="standardContextual"/>
        </w:rPr>
        <w:t xml:space="preserve">by </w:t>
      </w:r>
      <w:r w:rsidRPr="00C43543">
        <w:rPr>
          <w:szCs w:val="28"/>
          <w14:ligatures w14:val="standardContextual"/>
        </w:rPr>
        <w:t xml:space="preserve">admitting Coghlan’s testimony because (1) he ignored the 2016 air testing results; (2) the carpet samples were unreliable; and (3) the court improperly considered the lack of other available evidence. Each argument fails. </w:t>
      </w:r>
    </w:p>
    <w:p w14:paraId="760938D4" w14:textId="23265829" w:rsidR="00123D75" w:rsidRPr="00C43543" w:rsidRDefault="00123D75" w:rsidP="00123D75">
      <w:pPr>
        <w:pStyle w:val="BodyText"/>
        <w:rPr>
          <w:szCs w:val="28"/>
          <w14:ligatures w14:val="standardContextual"/>
        </w:rPr>
      </w:pPr>
      <w:r w:rsidRPr="00C43543">
        <w:rPr>
          <w:i/>
          <w:iCs/>
          <w:szCs w:val="28"/>
          <w14:ligatures w14:val="standardContextual"/>
        </w:rPr>
        <w:t>First</w:t>
      </w:r>
      <w:r w:rsidRPr="00C43543">
        <w:rPr>
          <w:szCs w:val="28"/>
          <w14:ligatures w14:val="standardContextual"/>
        </w:rPr>
        <w:t xml:space="preserve">, Monsanto repeatedly (and incorrectly) insinuates that Coghlan should have deferred to the 2016 testing results. Br. 69-70, 72, 87-88, 94 &amp; n.20. But, as he explained, “[n]early all PCB tests conducted at [Sky Valley] were done after the light fixtures were cleaned and remediated, at least to some degree, and after the ventilation systems were repaired and adjusted.” CP 7457. “These actions,” Coghlan concluded, “would alter the PCB exposures in a measurable way.” </w:t>
      </w:r>
      <w:r w:rsidRPr="00C43543">
        <w:rPr>
          <w:i/>
          <w:iCs/>
          <w:szCs w:val="28"/>
          <w14:ligatures w14:val="standardContextual"/>
        </w:rPr>
        <w:t>Id.</w:t>
      </w:r>
      <w:r w:rsidRPr="00C43543">
        <w:rPr>
          <w:szCs w:val="28"/>
          <w14:ligatures w14:val="standardContextual"/>
        </w:rPr>
        <w:t xml:space="preserve">; </w:t>
      </w:r>
      <w:r w:rsidRPr="00C43543">
        <w:rPr>
          <w:i/>
          <w:iCs/>
          <w:szCs w:val="28"/>
          <w14:ligatures w14:val="standardContextual"/>
        </w:rPr>
        <w:t>see also</w:t>
      </w:r>
      <w:r w:rsidRPr="00C43543">
        <w:rPr>
          <w:szCs w:val="28"/>
          <w14:ligatures w14:val="standardContextual"/>
        </w:rPr>
        <w:t xml:space="preserve"> Tr. 1783-87, 2073. So it made little sense to “</w:t>
      </w:r>
      <w:proofErr w:type="gramStart"/>
      <w:r w:rsidRPr="00C43543">
        <w:rPr>
          <w:szCs w:val="28"/>
          <w14:ligatures w14:val="standardContextual"/>
        </w:rPr>
        <w:t>rely[</w:t>
      </w:r>
      <w:proofErr w:type="gramEnd"/>
      <w:r w:rsidRPr="00C43543">
        <w:rPr>
          <w:szCs w:val="28"/>
          <w14:ligatures w14:val="standardContextual"/>
        </w:rPr>
        <w:t xml:space="preserve">] only on data that had limited relevance to the Plaintiff’s exposures.” CP 7451. In any case, Coghlan “did not entirely discard or ignore the environmental data” collected in 2016—he specifically “used these data to ground the range of likely exposures the </w:t>
      </w:r>
      <w:r w:rsidRPr="00C43543">
        <w:rPr>
          <w:szCs w:val="28"/>
          <w14:ligatures w14:val="standardContextual"/>
        </w:rPr>
        <w:lastRenderedPageBreak/>
        <w:t xml:space="preserve">Plaintiffs had to PCBs in the environment at Sky Valley.” </w:t>
      </w:r>
      <w:r w:rsidRPr="00C43543">
        <w:rPr>
          <w:i/>
          <w:iCs/>
          <w:szCs w:val="28"/>
          <w14:ligatures w14:val="standardContextual"/>
        </w:rPr>
        <w:t>Id.</w:t>
      </w:r>
      <w:r w:rsidRPr="00C43543">
        <w:rPr>
          <w:szCs w:val="28"/>
          <w14:ligatures w14:val="standardContextual"/>
        </w:rPr>
        <w:t xml:space="preserve"> That Monsanto placed </w:t>
      </w:r>
      <w:r w:rsidR="003A1968" w:rsidRPr="00C43543">
        <w:rPr>
          <w:szCs w:val="28"/>
          <w14:ligatures w14:val="standardContextual"/>
        </w:rPr>
        <w:t>greater</w:t>
      </w:r>
      <w:r w:rsidRPr="00C43543">
        <w:rPr>
          <w:szCs w:val="28"/>
          <w14:ligatures w14:val="standardContextual"/>
        </w:rPr>
        <w:t xml:space="preserve"> weight on the 2016 testing results than Coghlan did does not make his testimony inadmissible.</w:t>
      </w:r>
    </w:p>
    <w:p w14:paraId="5AD61653" w14:textId="77777777" w:rsidR="00123D75" w:rsidRPr="00C43543" w:rsidRDefault="00123D75" w:rsidP="00123D75">
      <w:pPr>
        <w:pStyle w:val="BodyText"/>
        <w:rPr>
          <w:szCs w:val="28"/>
          <w14:ligatures w14:val="standardContextual"/>
        </w:rPr>
      </w:pPr>
      <w:r w:rsidRPr="00C43543">
        <w:rPr>
          <w:i/>
          <w:iCs/>
          <w:szCs w:val="28"/>
          <w14:ligatures w14:val="standardContextual"/>
        </w:rPr>
        <w:t>Second</w:t>
      </w:r>
      <w:r w:rsidRPr="00C43543">
        <w:rPr>
          <w:szCs w:val="28"/>
          <w14:ligatures w14:val="standardContextual"/>
        </w:rPr>
        <w:t xml:space="preserve">, Monsanto’s argument that Coghlan’s testimony was inadmissible because the underlying carpet samples were unreliable misstates both the record and the law.  </w:t>
      </w:r>
    </w:p>
    <w:p w14:paraId="62234AFD" w14:textId="493A19B2" w:rsidR="00123D75" w:rsidRPr="00C43543" w:rsidRDefault="00123D75" w:rsidP="00123D75">
      <w:pPr>
        <w:pStyle w:val="BodyText"/>
        <w:rPr>
          <w:szCs w:val="28"/>
          <w14:ligatures w14:val="standardContextual"/>
        </w:rPr>
      </w:pPr>
      <w:r w:rsidRPr="00C43543">
        <w:rPr>
          <w:szCs w:val="28"/>
          <w14:ligatures w14:val="standardContextual"/>
        </w:rPr>
        <w:t xml:space="preserve">As to the record: </w:t>
      </w:r>
      <w:r w:rsidR="003A1968" w:rsidRPr="00C43543">
        <w:rPr>
          <w:szCs w:val="28"/>
          <w14:ligatures w14:val="standardContextual"/>
        </w:rPr>
        <w:t xml:space="preserve">To ensure the validity of his results, Coghlan </w:t>
      </w:r>
      <w:r w:rsidR="00517576" w:rsidRPr="00C43543">
        <w:rPr>
          <w:szCs w:val="28"/>
          <w14:ligatures w14:val="standardContextual"/>
        </w:rPr>
        <w:t xml:space="preserve">himself tested </w:t>
      </w:r>
      <w:r w:rsidR="003A1968" w:rsidRPr="00C43543">
        <w:rPr>
          <w:szCs w:val="28"/>
          <w14:ligatures w14:val="standardContextual"/>
        </w:rPr>
        <w:t xml:space="preserve">the sample containers to assess whether there was any cross-contamination. </w:t>
      </w:r>
      <w:r w:rsidR="003A1968" w:rsidRPr="00C43543">
        <w:rPr>
          <w:i/>
          <w:iCs/>
          <w:szCs w:val="28"/>
          <w14:ligatures w14:val="standardContextual"/>
        </w:rPr>
        <w:t>See, e.g.</w:t>
      </w:r>
      <w:r w:rsidR="003A1968" w:rsidRPr="00C43543">
        <w:rPr>
          <w:szCs w:val="28"/>
          <w14:ligatures w14:val="standardContextual"/>
        </w:rPr>
        <w:t>, Tr. 1791-94, 2021-23. It showed that “the likelihood of cross-contamination, of contamination from another source, was very low.” Tr. 1793-</w:t>
      </w:r>
      <w:r w:rsidR="00D53FF3" w:rsidRPr="00C43543">
        <w:rPr>
          <w:szCs w:val="28"/>
          <w14:ligatures w14:val="standardContextual"/>
        </w:rPr>
        <w:t>9</w:t>
      </w:r>
      <w:r w:rsidR="003A1968" w:rsidRPr="00C43543">
        <w:rPr>
          <w:szCs w:val="28"/>
          <w14:ligatures w14:val="standardContextual"/>
        </w:rPr>
        <w:t xml:space="preserve">4; </w:t>
      </w:r>
      <w:r w:rsidR="003A1968" w:rsidRPr="00C43543">
        <w:rPr>
          <w:i/>
          <w:iCs/>
          <w:szCs w:val="28"/>
          <w14:ligatures w14:val="standardContextual"/>
        </w:rPr>
        <w:t>see also</w:t>
      </w:r>
      <w:r w:rsidR="003A1968" w:rsidRPr="00C43543">
        <w:rPr>
          <w:szCs w:val="28"/>
          <w14:ligatures w14:val="standardContextual"/>
        </w:rPr>
        <w:t xml:space="preserve"> CP 7442-46</w:t>
      </w:r>
      <w:r w:rsidRPr="00C43543">
        <w:rPr>
          <w:szCs w:val="28"/>
          <w14:ligatures w14:val="standardContextual"/>
        </w:rPr>
        <w:t xml:space="preserve">. </w:t>
      </w:r>
    </w:p>
    <w:p w14:paraId="7F00A7C5" w14:textId="0F682654" w:rsidR="00123D75" w:rsidRPr="00C43543" w:rsidRDefault="00123D75" w:rsidP="00123D75">
      <w:pPr>
        <w:pStyle w:val="BodyText"/>
        <w:rPr>
          <w:szCs w:val="28"/>
          <w14:ligatures w14:val="standardContextual"/>
        </w:rPr>
      </w:pPr>
      <w:r w:rsidRPr="00C43543">
        <w:rPr>
          <w:szCs w:val="28"/>
          <w14:ligatures w14:val="standardContextual"/>
        </w:rPr>
        <w:t xml:space="preserve">As to the law: Monsanto </w:t>
      </w:r>
      <w:r w:rsidR="00517576" w:rsidRPr="00C43543">
        <w:rPr>
          <w:szCs w:val="28"/>
          <w14:ligatures w14:val="standardContextual"/>
        </w:rPr>
        <w:t>identifies</w:t>
      </w:r>
      <w:r w:rsidRPr="00C43543">
        <w:rPr>
          <w:szCs w:val="28"/>
          <w14:ligatures w14:val="standardContextual"/>
        </w:rPr>
        <w:t xml:space="preserve"> no case suggesting that the admissibility of an expert’s analysis of physical evidence turns on the reliability of the underlying evidence itself. That is because “criticisms of [a] test in [a] particular case, such as whether the proper procedures were carried out . . . are questions regarding whether this particular test was properly conducted and hence go to the issue of weight, not admissibility.” </w:t>
      </w:r>
      <w:r w:rsidRPr="00C43543">
        <w:rPr>
          <w:i/>
          <w:iCs/>
          <w:szCs w:val="28"/>
          <w14:ligatures w14:val="standardContextual"/>
        </w:rPr>
        <w:t>State v. Gentry</w:t>
      </w:r>
      <w:r w:rsidRPr="00C43543">
        <w:rPr>
          <w:szCs w:val="28"/>
          <w14:ligatures w14:val="standardContextual"/>
        </w:rPr>
        <w:t>, 125 Wn.2d 570, 588, 888 P.2d 1105</w:t>
      </w:r>
      <w:r w:rsidR="002378C3" w:rsidRPr="00C43543">
        <w:rPr>
          <w:szCs w:val="28"/>
          <w14:ligatures w14:val="standardContextual"/>
        </w:rPr>
        <w:t xml:space="preserve"> </w:t>
      </w:r>
      <w:r w:rsidRPr="00C43543">
        <w:rPr>
          <w:szCs w:val="28"/>
          <w14:ligatures w14:val="standardContextual"/>
        </w:rPr>
        <w:t>(1995)</w:t>
      </w:r>
      <w:r w:rsidR="002378C3" w:rsidRPr="00C43543">
        <w:rPr>
          <w:szCs w:val="28"/>
          <w14:ligatures w14:val="standardContextual"/>
        </w:rPr>
        <w:fldChar w:fldCharType="begin"/>
      </w:r>
      <w:r w:rsidR="002378C3" w:rsidRPr="00C43543">
        <w:rPr>
          <w:szCs w:val="28"/>
          <w14:ligatures w14:val="standardContextual"/>
        </w:rPr>
        <w:instrText xml:space="preserve"> TA \l "</w:instrText>
      </w:r>
      <w:r w:rsidR="002378C3" w:rsidRPr="00C43543">
        <w:rPr>
          <w:i/>
          <w:iCs/>
          <w:szCs w:val="28"/>
          <w14:ligatures w14:val="standardContextual"/>
        </w:rPr>
        <w:instrText>State v. Gentry</w:instrText>
      </w:r>
      <w:r w:rsidR="002378C3" w:rsidRPr="00C43543">
        <w:rPr>
          <w:szCs w:val="28"/>
          <w14:ligatures w14:val="standardContextual"/>
        </w:rPr>
        <w:instrText>,</w:instrText>
      </w:r>
      <w:r w:rsidR="002378C3" w:rsidRPr="00C43543">
        <w:rPr>
          <w:szCs w:val="28"/>
          <w14:ligatures w14:val="standardContextual"/>
        </w:rPr>
        <w:br/>
        <w:instrText xml:space="preserve">125 Wn.2d 570, 888 P.2d 1105 (1995)" \s "State v. Gentry, 125 Wn.2d 570" \c 1 </w:instrText>
      </w:r>
      <w:r w:rsidR="002378C3" w:rsidRPr="00C43543">
        <w:rPr>
          <w:szCs w:val="28"/>
          <w14:ligatures w14:val="standardContextual"/>
        </w:rPr>
        <w:fldChar w:fldCharType="end"/>
      </w:r>
      <w:r w:rsidRPr="00C43543">
        <w:rPr>
          <w:szCs w:val="28"/>
          <w14:ligatures w14:val="standardContextual"/>
        </w:rPr>
        <w:t>.</w:t>
      </w:r>
    </w:p>
    <w:p w14:paraId="573124EE" w14:textId="6674E6E7" w:rsidR="00123D75" w:rsidRPr="00C43543" w:rsidRDefault="00123D75" w:rsidP="00123D75">
      <w:pPr>
        <w:pStyle w:val="BodyText"/>
        <w:rPr>
          <w:szCs w:val="28"/>
          <w14:ligatures w14:val="standardContextual"/>
        </w:rPr>
      </w:pPr>
      <w:r w:rsidRPr="00C43543">
        <w:rPr>
          <w:szCs w:val="28"/>
          <w14:ligatures w14:val="standardContextual"/>
        </w:rPr>
        <w:lastRenderedPageBreak/>
        <w:tab/>
      </w:r>
      <w:r w:rsidRPr="00C43543">
        <w:rPr>
          <w:i/>
          <w:iCs/>
          <w:szCs w:val="28"/>
          <w14:ligatures w14:val="standardContextual"/>
        </w:rPr>
        <w:t>Third</w:t>
      </w:r>
      <w:r w:rsidRPr="00C43543">
        <w:rPr>
          <w:szCs w:val="28"/>
          <w14:ligatures w14:val="standardContextual"/>
        </w:rPr>
        <w:t xml:space="preserve">, Monsanto contends (at 96-97) that the trial court erred in admitting Coghlan’s testimony based on a “misguided rationale” that unreliable evidence is permissible when there is a “lack of other available evidence.” That misrepresents the record. Although the trial court did remark on the absence of “the ideal kind of evidence,” it specifically rejected Monsanto’s </w:t>
      </w:r>
      <w:r w:rsidRPr="00C43543">
        <w:rPr>
          <w:i/>
          <w:iCs/>
          <w:szCs w:val="28"/>
          <w14:ligatures w14:val="standardContextual"/>
        </w:rPr>
        <w:t xml:space="preserve">Frye </w:t>
      </w:r>
      <w:r w:rsidRPr="00C43543">
        <w:rPr>
          <w:szCs w:val="28"/>
          <w14:ligatures w14:val="standardContextual"/>
        </w:rPr>
        <w:t xml:space="preserve">challenge because Coghlan conducted a “valid test” applying a “test that the EPA does.” HRP 1558-59. Monsanto’s </w:t>
      </w:r>
      <w:r w:rsidR="003A1968" w:rsidRPr="00C43543">
        <w:rPr>
          <w:szCs w:val="28"/>
          <w14:ligatures w14:val="standardContextual"/>
        </w:rPr>
        <w:t xml:space="preserve">other </w:t>
      </w:r>
      <w:r w:rsidRPr="00C43543">
        <w:rPr>
          <w:szCs w:val="28"/>
          <w14:ligatures w14:val="standardContextual"/>
        </w:rPr>
        <w:t xml:space="preserve">arguments, the court continued, went “to the weight that the jury should give to [Coghlan’s testimony] rather than its admissibility.” </w:t>
      </w:r>
      <w:r w:rsidRPr="00C43543">
        <w:rPr>
          <w:i/>
          <w:iCs/>
          <w:szCs w:val="28"/>
          <w14:ligatures w14:val="standardContextual"/>
        </w:rPr>
        <w:t>Id.</w:t>
      </w:r>
      <w:r w:rsidRPr="00C43543">
        <w:rPr>
          <w:szCs w:val="28"/>
          <w14:ligatures w14:val="standardContextual"/>
        </w:rPr>
        <w:t xml:space="preserve"> The trial court got it right. </w:t>
      </w:r>
    </w:p>
    <w:p w14:paraId="13629BC0" w14:textId="77777777" w:rsidR="00123D75" w:rsidRPr="00C43543" w:rsidRDefault="00123D75" w:rsidP="00FC3399">
      <w:pPr>
        <w:pStyle w:val="Heading3"/>
        <w:rPr>
          <w:rFonts w:ascii="Adobe Garamond Pro" w:hAnsi="Adobe Garamond Pro"/>
          <w14:ligatures w14:val="standardContextual"/>
        </w:rPr>
      </w:pPr>
      <w:bookmarkStart w:id="70" w:name="_Toc109728354"/>
      <w:r w:rsidRPr="00C43543">
        <w:rPr>
          <w:rFonts w:ascii="Adobe Garamond Pro" w:hAnsi="Adobe Garamond Pro"/>
          <w14:ligatures w14:val="standardContextual"/>
        </w:rPr>
        <w:t xml:space="preserve">The trial court did not abuse its discretion in admitting Dr. </w:t>
      </w:r>
      <w:proofErr w:type="spellStart"/>
      <w:r w:rsidRPr="00C43543">
        <w:rPr>
          <w:rFonts w:ascii="Adobe Garamond Pro" w:hAnsi="Adobe Garamond Pro"/>
          <w14:ligatures w14:val="standardContextual"/>
        </w:rPr>
        <w:t>Perrillo’s</w:t>
      </w:r>
      <w:proofErr w:type="spellEnd"/>
      <w:r w:rsidRPr="00C43543">
        <w:rPr>
          <w:rFonts w:ascii="Adobe Garamond Pro" w:hAnsi="Adobe Garamond Pro"/>
          <w14:ligatures w14:val="standardContextual"/>
        </w:rPr>
        <w:t xml:space="preserve"> opinions about the plaintiffs’ brain injuries.</w:t>
      </w:r>
      <w:bookmarkEnd w:id="70"/>
    </w:p>
    <w:p w14:paraId="48FDCDB2" w14:textId="6E5160AA" w:rsidR="00123D75" w:rsidRPr="00C43543" w:rsidRDefault="00123D75" w:rsidP="00123D75">
      <w:pPr>
        <w:pStyle w:val="BodyText"/>
        <w:rPr>
          <w:szCs w:val="28"/>
          <w14:ligatures w14:val="standardContextual"/>
        </w:rPr>
      </w:pPr>
      <w:r w:rsidRPr="00C43543">
        <w:rPr>
          <w:szCs w:val="28"/>
          <w14:ligatures w14:val="standardContextual"/>
        </w:rPr>
        <w:t xml:space="preserve">Monsanto’s final expert target is Dr. Richard </w:t>
      </w:r>
      <w:proofErr w:type="spellStart"/>
      <w:r w:rsidRPr="00C43543">
        <w:rPr>
          <w:szCs w:val="28"/>
          <w14:ligatures w14:val="standardContextual"/>
        </w:rPr>
        <w:t>Perrillo</w:t>
      </w:r>
      <w:proofErr w:type="spellEnd"/>
      <w:r w:rsidRPr="00C43543">
        <w:rPr>
          <w:szCs w:val="28"/>
          <w14:ligatures w14:val="standardContextual"/>
        </w:rPr>
        <w:t xml:space="preserve">, an experienced forensic and clinical neuropsychologist who has evaluated thousands of individuals over 40 years of practice. He serves on multiple standardization committees for the most widely used neuropsychological tests in the world. </w:t>
      </w:r>
      <w:r w:rsidRPr="00C43543">
        <w:rPr>
          <w:i/>
          <w:iCs/>
          <w:szCs w:val="28"/>
          <w14:ligatures w14:val="standardContextual"/>
        </w:rPr>
        <w:t xml:space="preserve">See </w:t>
      </w:r>
      <w:r w:rsidRPr="00C43543">
        <w:rPr>
          <w:szCs w:val="28"/>
          <w14:ligatures w14:val="standardContextual"/>
        </w:rPr>
        <w:t xml:space="preserve">CP 6465-67, 7311-12. Dr. </w:t>
      </w:r>
      <w:proofErr w:type="spellStart"/>
      <w:r w:rsidRPr="00C43543">
        <w:rPr>
          <w:szCs w:val="28"/>
          <w14:ligatures w14:val="standardContextual"/>
        </w:rPr>
        <w:t>Perrillo</w:t>
      </w:r>
      <w:proofErr w:type="spellEnd"/>
      <w:r w:rsidRPr="00C43543">
        <w:rPr>
          <w:szCs w:val="28"/>
          <w14:ligatures w14:val="standardContextual"/>
        </w:rPr>
        <w:t xml:space="preserve"> spent hours evaluating each of the plaintiffs, conducting a battery of neuropsychological tests to assess their </w:t>
      </w:r>
      <w:r w:rsidRPr="00C43543">
        <w:rPr>
          <w:szCs w:val="28"/>
          <w14:ligatures w14:val="standardContextual"/>
        </w:rPr>
        <w:lastRenderedPageBreak/>
        <w:t xml:space="preserve">cognitive function. Tr. 1068, 1072. </w:t>
      </w:r>
      <w:r w:rsidR="00517576" w:rsidRPr="00C43543">
        <w:rPr>
          <w:szCs w:val="28"/>
          <w14:ligatures w14:val="standardContextual"/>
        </w:rPr>
        <w:t>H</w:t>
      </w:r>
      <w:r w:rsidR="00741A16" w:rsidRPr="00C43543">
        <w:rPr>
          <w:szCs w:val="28"/>
          <w14:ligatures w14:val="standardContextual"/>
        </w:rPr>
        <w:t xml:space="preserve">e also evaluated dozens of other teachers and students from Sky Valley. Tr. 1072, 1122-24. Based on these evaluations, Dr. </w:t>
      </w:r>
      <w:proofErr w:type="spellStart"/>
      <w:r w:rsidR="00741A16" w:rsidRPr="00C43543">
        <w:rPr>
          <w:szCs w:val="28"/>
          <w14:ligatures w14:val="standardContextual"/>
        </w:rPr>
        <w:t>Perrillo</w:t>
      </w:r>
      <w:proofErr w:type="spellEnd"/>
      <w:r w:rsidR="00741A16" w:rsidRPr="00C43543">
        <w:rPr>
          <w:szCs w:val="28"/>
          <w14:ligatures w14:val="standardContextual"/>
        </w:rPr>
        <w:t xml:space="preserve"> concluded that each of the plaintiffs suffered cognitive impairment evidencing acquired brain damage. </w:t>
      </w:r>
      <w:r w:rsidR="00741A16" w:rsidRPr="00C43543">
        <w:rPr>
          <w:i/>
          <w:iCs/>
          <w:szCs w:val="28"/>
          <w14:ligatures w14:val="standardContextual"/>
        </w:rPr>
        <w:t xml:space="preserve">See </w:t>
      </w:r>
      <w:r w:rsidR="00741A16" w:rsidRPr="00C43543">
        <w:rPr>
          <w:szCs w:val="28"/>
          <w14:ligatures w14:val="standardContextual"/>
        </w:rPr>
        <w:t>Tr. 1083, 1106-07, 1112-16. He also determined that PCB exposure was the likely cause. Tr. 1083, 1228, 1234-35</w:t>
      </w:r>
      <w:r w:rsidRPr="00C43543">
        <w:rPr>
          <w:szCs w:val="28"/>
          <w14:ligatures w14:val="standardContextual"/>
        </w:rPr>
        <w:t>.</w:t>
      </w:r>
    </w:p>
    <w:p w14:paraId="4BC9014D" w14:textId="77777777" w:rsidR="00123D75" w:rsidRPr="00C43543" w:rsidRDefault="00123D75" w:rsidP="00123D75">
      <w:pPr>
        <w:pStyle w:val="BodyText"/>
        <w:rPr>
          <w:szCs w:val="28"/>
          <w14:ligatures w14:val="standardContextual"/>
        </w:rPr>
      </w:pPr>
      <w:r w:rsidRPr="00C43543">
        <w:rPr>
          <w:szCs w:val="28"/>
          <w14:ligatures w14:val="standardContextual"/>
        </w:rPr>
        <w:t xml:space="preserve">Monsanto complained in the trial court—and does so again on appeal—that Dr. </w:t>
      </w:r>
      <w:proofErr w:type="spellStart"/>
      <w:r w:rsidRPr="00C43543">
        <w:rPr>
          <w:szCs w:val="28"/>
          <w14:ligatures w14:val="standardContextual"/>
        </w:rPr>
        <w:t>Perrillo</w:t>
      </w:r>
      <w:proofErr w:type="spellEnd"/>
      <w:r w:rsidRPr="00C43543">
        <w:rPr>
          <w:szCs w:val="28"/>
          <w14:ligatures w14:val="standardContextual"/>
        </w:rPr>
        <w:t xml:space="preserve"> employed unreliable methodologies to reach his conclusions. After carefully considering the parties’ briefing and evidence, the trial court determined that none of these complaints “justify excluding his testimony.” CP 16784. There is no sound basis for disturbing that conclusion on appeal. </w:t>
      </w:r>
    </w:p>
    <w:p w14:paraId="7943C66E" w14:textId="77777777" w:rsidR="00123D75" w:rsidRPr="00C43543" w:rsidRDefault="00123D75" w:rsidP="00FC3399">
      <w:pPr>
        <w:pStyle w:val="Heading4"/>
        <w:numPr>
          <w:ilvl w:val="0"/>
          <w:numId w:val="59"/>
        </w:numPr>
        <w:rPr>
          <w:rFonts w:ascii="Adobe Garamond Pro" w:hAnsi="Adobe Garamond Pro"/>
          <w14:ligatures w14:val="standardContextual"/>
        </w:rPr>
      </w:pPr>
      <w:bookmarkStart w:id="71" w:name="_Toc109728355"/>
      <w:r w:rsidRPr="00C43543">
        <w:rPr>
          <w:rFonts w:ascii="Adobe Garamond Pro" w:hAnsi="Adobe Garamond Pro"/>
          <w14:ligatures w14:val="standardContextual"/>
        </w:rPr>
        <w:t xml:space="preserve">Monsanto waived any </w:t>
      </w:r>
      <w:r w:rsidRPr="00C43543">
        <w:rPr>
          <w:rFonts w:ascii="Adobe Garamond Pro" w:hAnsi="Adobe Garamond Pro"/>
          <w:i/>
          <w:iCs/>
          <w14:ligatures w14:val="standardContextual"/>
        </w:rPr>
        <w:t>Frye</w:t>
      </w:r>
      <w:r w:rsidRPr="00C43543">
        <w:rPr>
          <w:rFonts w:ascii="Adobe Garamond Pro" w:hAnsi="Adobe Garamond Pro"/>
          <w14:ligatures w14:val="standardContextual"/>
        </w:rPr>
        <w:t xml:space="preserve"> challenges to Dr. </w:t>
      </w:r>
      <w:proofErr w:type="spellStart"/>
      <w:r w:rsidRPr="00C43543">
        <w:rPr>
          <w:rFonts w:ascii="Adobe Garamond Pro" w:hAnsi="Adobe Garamond Pro"/>
          <w14:ligatures w14:val="standardContextual"/>
        </w:rPr>
        <w:t>Perrillo’s</w:t>
      </w:r>
      <w:proofErr w:type="spellEnd"/>
      <w:r w:rsidRPr="00C43543">
        <w:rPr>
          <w:rFonts w:ascii="Adobe Garamond Pro" w:hAnsi="Adobe Garamond Pro"/>
          <w14:ligatures w14:val="standardContextual"/>
        </w:rPr>
        <w:t xml:space="preserve"> testimony.</w:t>
      </w:r>
      <w:bookmarkEnd w:id="71"/>
    </w:p>
    <w:p w14:paraId="38205389" w14:textId="60F6AF96" w:rsidR="00123D75" w:rsidRPr="00C43543" w:rsidRDefault="00123D75" w:rsidP="00123D75">
      <w:pPr>
        <w:pStyle w:val="BodyText"/>
        <w:rPr>
          <w:szCs w:val="28"/>
          <w14:ligatures w14:val="standardContextual"/>
        </w:rPr>
      </w:pPr>
      <w:r w:rsidRPr="00C43543">
        <w:rPr>
          <w:szCs w:val="28"/>
          <w14:ligatures w14:val="standardContextual"/>
        </w:rPr>
        <w:t>Monsanto didn</w:t>
      </w:r>
      <w:r w:rsidR="006720D6" w:rsidRPr="00C43543">
        <w:rPr>
          <w:szCs w:val="28"/>
          <w14:ligatures w14:val="standardContextual"/>
        </w:rPr>
        <w:t>’</w:t>
      </w:r>
      <w:r w:rsidRPr="00C43543">
        <w:rPr>
          <w:szCs w:val="28"/>
          <w14:ligatures w14:val="standardContextual"/>
        </w:rPr>
        <w:t xml:space="preserve">t mention </w:t>
      </w:r>
      <w:r w:rsidRPr="00C43543">
        <w:rPr>
          <w:i/>
          <w:iCs/>
          <w:szCs w:val="28"/>
          <w14:ligatures w14:val="standardContextual"/>
        </w:rPr>
        <w:t>Frye</w:t>
      </w:r>
      <w:r w:rsidRPr="00C43543">
        <w:rPr>
          <w:szCs w:val="28"/>
          <w14:ligatures w14:val="standardContextual"/>
        </w:rPr>
        <w:t xml:space="preserve"> once in its motion to exclude Dr. </w:t>
      </w:r>
      <w:proofErr w:type="spellStart"/>
      <w:r w:rsidRPr="00C43543">
        <w:rPr>
          <w:szCs w:val="28"/>
          <w14:ligatures w14:val="standardContextual"/>
        </w:rPr>
        <w:t>Perrillo’s</w:t>
      </w:r>
      <w:proofErr w:type="spellEnd"/>
      <w:r w:rsidRPr="00C43543">
        <w:rPr>
          <w:szCs w:val="28"/>
          <w14:ligatures w14:val="standardContextual"/>
        </w:rPr>
        <w:t xml:space="preserve"> testimony. </w:t>
      </w:r>
      <w:r w:rsidRPr="00C43543">
        <w:rPr>
          <w:i/>
          <w:iCs/>
          <w:szCs w:val="28"/>
          <w14:ligatures w14:val="standardContextual"/>
        </w:rPr>
        <w:t>See</w:t>
      </w:r>
      <w:r w:rsidRPr="00C43543">
        <w:rPr>
          <w:szCs w:val="28"/>
          <w14:ligatures w14:val="standardContextual"/>
        </w:rPr>
        <w:t xml:space="preserve"> CP 6425-31. Instead, it just contended that his testimony was “unreliable” under Rule 702. CP 6427. It said the same thing in its reply brief on that motion. </w:t>
      </w:r>
      <w:r w:rsidRPr="00C43543">
        <w:rPr>
          <w:i/>
          <w:iCs/>
          <w:szCs w:val="28"/>
          <w14:ligatures w14:val="standardContextual"/>
        </w:rPr>
        <w:t xml:space="preserve">See </w:t>
      </w:r>
      <w:r w:rsidRPr="00C43543">
        <w:rPr>
          <w:szCs w:val="28"/>
          <w14:ligatures w14:val="standardContextual"/>
        </w:rPr>
        <w:t>CP 9954-</w:t>
      </w:r>
      <w:r w:rsidR="00D53FF3" w:rsidRPr="00C43543">
        <w:rPr>
          <w:szCs w:val="28"/>
          <w14:ligatures w14:val="standardContextual"/>
        </w:rPr>
        <w:t>6</w:t>
      </w:r>
      <w:r w:rsidRPr="00C43543">
        <w:rPr>
          <w:szCs w:val="28"/>
          <w14:ligatures w14:val="standardContextual"/>
        </w:rPr>
        <w:t xml:space="preserve">0. And again, in its new-trial motion, Monsanto argued only that Dr. </w:t>
      </w:r>
      <w:proofErr w:type="spellStart"/>
      <w:r w:rsidRPr="00C43543">
        <w:rPr>
          <w:szCs w:val="28"/>
          <w14:ligatures w14:val="standardContextual"/>
        </w:rPr>
        <w:t>Perrillo</w:t>
      </w:r>
      <w:proofErr w:type="spellEnd"/>
      <w:r w:rsidRPr="00C43543">
        <w:rPr>
          <w:szCs w:val="28"/>
          <w14:ligatures w14:val="standardContextual"/>
        </w:rPr>
        <w:t xml:space="preserve"> “should have been excluded under ER 702.” CP 16607-08.</w:t>
      </w:r>
    </w:p>
    <w:p w14:paraId="4B318610" w14:textId="23F26CDC" w:rsidR="00123D75" w:rsidRPr="00C43543" w:rsidRDefault="00123D75" w:rsidP="00123D75">
      <w:pPr>
        <w:pStyle w:val="BodyText"/>
        <w:rPr>
          <w:szCs w:val="28"/>
          <w14:ligatures w14:val="standardContextual"/>
        </w:rPr>
      </w:pPr>
      <w:r w:rsidRPr="00C43543">
        <w:rPr>
          <w:szCs w:val="28"/>
          <w14:ligatures w14:val="standardContextual"/>
        </w:rPr>
        <w:lastRenderedPageBreak/>
        <w:t xml:space="preserve">Now, however, Monsanto contends for the first time that Dr. </w:t>
      </w:r>
      <w:proofErr w:type="spellStart"/>
      <w:r w:rsidRPr="00C43543">
        <w:rPr>
          <w:szCs w:val="28"/>
          <w14:ligatures w14:val="standardContextual"/>
        </w:rPr>
        <w:t>Perrillo’s</w:t>
      </w:r>
      <w:proofErr w:type="spellEnd"/>
      <w:r w:rsidRPr="00C43543">
        <w:rPr>
          <w:szCs w:val="28"/>
          <w14:ligatures w14:val="standardContextual"/>
        </w:rPr>
        <w:t xml:space="preserve"> opinions were inadmissible under </w:t>
      </w:r>
      <w:r w:rsidRPr="00C43543">
        <w:rPr>
          <w:i/>
          <w:iCs/>
          <w:szCs w:val="28"/>
          <w14:ligatures w14:val="standardContextual"/>
        </w:rPr>
        <w:t>Frye. See</w:t>
      </w:r>
      <w:r w:rsidRPr="00C43543">
        <w:rPr>
          <w:szCs w:val="28"/>
          <w14:ligatures w14:val="standardContextual"/>
        </w:rPr>
        <w:t xml:space="preserve"> Br. 103-</w:t>
      </w:r>
      <w:r w:rsidR="00F21D74" w:rsidRPr="00C43543">
        <w:rPr>
          <w:szCs w:val="28"/>
          <w14:ligatures w14:val="standardContextual"/>
        </w:rPr>
        <w:t>20</w:t>
      </w:r>
      <w:r w:rsidRPr="00C43543">
        <w:rPr>
          <w:szCs w:val="28"/>
          <w14:ligatures w14:val="standardContextual"/>
        </w:rPr>
        <w:t xml:space="preserve">. </w:t>
      </w:r>
      <w:r w:rsidR="00296BC9" w:rsidRPr="00C43543">
        <w:rPr>
          <w:szCs w:val="28"/>
          <w14:ligatures w14:val="standardContextual"/>
        </w:rPr>
        <w:t>It</w:t>
      </w:r>
      <w:r w:rsidR="00741A16" w:rsidRPr="00C43543">
        <w:rPr>
          <w:szCs w:val="28"/>
          <w14:ligatures w14:val="standardContextual"/>
        </w:rPr>
        <w:t>’s too late</w:t>
      </w:r>
      <w:r w:rsidRPr="00C43543">
        <w:rPr>
          <w:szCs w:val="28"/>
          <w14:ligatures w14:val="standardContextual"/>
        </w:rPr>
        <w:t xml:space="preserve">. Because “[a]n argument neither pleaded nor argued to the trial court cannot be raised for the first time on appeal,” Monsanto has waived its </w:t>
      </w:r>
      <w:r w:rsidRPr="00C43543">
        <w:rPr>
          <w:i/>
          <w:iCs/>
          <w:szCs w:val="28"/>
          <w14:ligatures w14:val="standardContextual"/>
        </w:rPr>
        <w:t>Frye</w:t>
      </w:r>
      <w:r w:rsidRPr="00C43543">
        <w:rPr>
          <w:szCs w:val="28"/>
          <w14:ligatures w14:val="standardContextual"/>
        </w:rPr>
        <w:t xml:space="preserve"> challenges to Dr. </w:t>
      </w:r>
      <w:proofErr w:type="spellStart"/>
      <w:r w:rsidRPr="00C43543">
        <w:rPr>
          <w:szCs w:val="28"/>
          <w14:ligatures w14:val="standardContextual"/>
        </w:rPr>
        <w:t>Perrillo’s</w:t>
      </w:r>
      <w:proofErr w:type="spellEnd"/>
      <w:r w:rsidRPr="00C43543">
        <w:rPr>
          <w:szCs w:val="28"/>
          <w14:ligatures w14:val="standardContextual"/>
        </w:rPr>
        <w:t xml:space="preserve"> testimony. </w:t>
      </w:r>
      <w:r w:rsidRPr="00C43543">
        <w:rPr>
          <w:i/>
          <w:iCs/>
          <w:szCs w:val="28"/>
          <w14:ligatures w14:val="standardContextual"/>
        </w:rPr>
        <w:t xml:space="preserve">Silverhawk LLC v. KeyBank </w:t>
      </w:r>
      <w:proofErr w:type="spellStart"/>
      <w:r w:rsidRPr="00C43543">
        <w:rPr>
          <w:i/>
          <w:iCs/>
          <w:szCs w:val="28"/>
          <w14:ligatures w14:val="standardContextual"/>
        </w:rPr>
        <w:t>Nat’l</w:t>
      </w:r>
      <w:proofErr w:type="spellEnd"/>
      <w:r w:rsidRPr="00C43543">
        <w:rPr>
          <w:i/>
          <w:iCs/>
          <w:szCs w:val="28"/>
          <w14:ligatures w14:val="standardContextual"/>
        </w:rPr>
        <w:t xml:space="preserve"> </w:t>
      </w:r>
      <w:proofErr w:type="spellStart"/>
      <w:r w:rsidRPr="00C43543">
        <w:rPr>
          <w:i/>
          <w:iCs/>
          <w:szCs w:val="28"/>
          <w14:ligatures w14:val="standardContextual"/>
        </w:rPr>
        <w:t>Ass’n</w:t>
      </w:r>
      <w:proofErr w:type="spellEnd"/>
      <w:r w:rsidRPr="00C43543">
        <w:rPr>
          <w:szCs w:val="28"/>
          <w14:ligatures w14:val="standardContextual"/>
        </w:rPr>
        <w:t xml:space="preserve">, 165 </w:t>
      </w:r>
      <w:proofErr w:type="spellStart"/>
      <w:r w:rsidRPr="00C43543">
        <w:rPr>
          <w:szCs w:val="28"/>
          <w14:ligatures w14:val="standardContextual"/>
        </w:rPr>
        <w:t>Wn</w:t>
      </w:r>
      <w:proofErr w:type="spellEnd"/>
      <w:r w:rsidRPr="00C43543">
        <w:rPr>
          <w:szCs w:val="28"/>
          <w14:ligatures w14:val="standardContextual"/>
        </w:rPr>
        <w:t>. App. 258, 265, 268 P.3d 958 (2011)</w:t>
      </w:r>
      <w:r w:rsidR="00637913" w:rsidRPr="00C43543">
        <w:rPr>
          <w:szCs w:val="28"/>
          <w14:ligatures w14:val="standardContextual"/>
        </w:rPr>
        <w:fldChar w:fldCharType="begin"/>
      </w:r>
      <w:r w:rsidR="00637913" w:rsidRPr="00C43543">
        <w:rPr>
          <w:szCs w:val="28"/>
          <w14:ligatures w14:val="standardContextual"/>
        </w:rPr>
        <w:instrText xml:space="preserve"> TA \l "</w:instrText>
      </w:r>
      <w:r w:rsidR="00637913" w:rsidRPr="00C43543">
        <w:rPr>
          <w:i/>
          <w:iCs/>
          <w:szCs w:val="28"/>
          <w14:ligatures w14:val="standardContextual"/>
        </w:rPr>
        <w:instrText>Silverhawk LLC v. KeyBank National Association</w:instrText>
      </w:r>
      <w:r w:rsidR="00637913" w:rsidRPr="00C43543">
        <w:rPr>
          <w:szCs w:val="28"/>
          <w14:ligatures w14:val="standardContextual"/>
        </w:rPr>
        <w:instrText>,</w:instrText>
      </w:r>
      <w:r w:rsidR="00637913" w:rsidRPr="00C43543">
        <w:rPr>
          <w:szCs w:val="28"/>
          <w14:ligatures w14:val="standardContextual"/>
        </w:rPr>
        <w:br/>
        <w:instrText xml:space="preserve">165 Wn. App. 258, 268 P.3d 958 (2011)" \s "Silverhawk, 165 Wn. App. 258" \c 1 </w:instrText>
      </w:r>
      <w:r w:rsidR="00637913"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 xml:space="preserve">see </w:t>
      </w:r>
      <w:r w:rsidRPr="00C43543">
        <w:rPr>
          <w:szCs w:val="28"/>
          <w14:ligatures w14:val="standardContextual"/>
        </w:rPr>
        <w:t>RAP 2.5(a)</w:t>
      </w:r>
      <w:r w:rsidR="00637913" w:rsidRPr="00C43543">
        <w:rPr>
          <w:szCs w:val="28"/>
          <w14:ligatures w14:val="standardContextual"/>
        </w:rPr>
        <w:fldChar w:fldCharType="begin"/>
      </w:r>
      <w:r w:rsidR="00637913" w:rsidRPr="00C43543">
        <w:rPr>
          <w:szCs w:val="28"/>
          <w14:ligatures w14:val="standardContextual"/>
        </w:rPr>
        <w:instrText xml:space="preserve"> TA \l "Washington Rule of Appellate Procedure 2.5" \s "RAP 2.5" \c 4 </w:instrText>
      </w:r>
      <w:r w:rsidR="00637913" w:rsidRPr="00C43543">
        <w:rPr>
          <w:szCs w:val="28"/>
          <w14:ligatures w14:val="standardContextual"/>
        </w:rPr>
        <w:fldChar w:fldCharType="end"/>
      </w:r>
      <w:r w:rsidRPr="00C43543">
        <w:rPr>
          <w:szCs w:val="28"/>
          <w14:ligatures w14:val="standardContextual"/>
        </w:rPr>
        <w:t xml:space="preserve">. </w:t>
      </w:r>
      <w:proofErr w:type="gramStart"/>
      <w:r w:rsidRPr="00C43543">
        <w:rPr>
          <w:szCs w:val="28"/>
          <w14:ligatures w14:val="standardContextual"/>
        </w:rPr>
        <w:t>So</w:t>
      </w:r>
      <w:proofErr w:type="gramEnd"/>
      <w:r w:rsidRPr="00C43543">
        <w:rPr>
          <w:szCs w:val="28"/>
          <w14:ligatures w14:val="standardContextual"/>
        </w:rPr>
        <w:t xml:space="preserve"> the only question on appeal is whether the trial court abused its discretion in finding Dr. </w:t>
      </w:r>
      <w:proofErr w:type="spellStart"/>
      <w:r w:rsidRPr="00C43543">
        <w:rPr>
          <w:szCs w:val="28"/>
          <w14:ligatures w14:val="standardContextual"/>
        </w:rPr>
        <w:t>Perrillo’s</w:t>
      </w:r>
      <w:proofErr w:type="spellEnd"/>
      <w:r w:rsidRPr="00C43543">
        <w:rPr>
          <w:szCs w:val="28"/>
          <w14:ligatures w14:val="standardContextual"/>
        </w:rPr>
        <w:t xml:space="preserve"> testimony admissible under Rule 702.</w:t>
      </w:r>
    </w:p>
    <w:p w14:paraId="45F0DEBE" w14:textId="77777777" w:rsidR="00123D75" w:rsidRPr="00C43543" w:rsidRDefault="00123D75" w:rsidP="00FC3399">
      <w:pPr>
        <w:pStyle w:val="Heading4"/>
        <w:rPr>
          <w:rFonts w:ascii="Adobe Garamond Pro" w:hAnsi="Adobe Garamond Pro"/>
          <w14:ligatures w14:val="standardContextual"/>
        </w:rPr>
      </w:pPr>
      <w:bookmarkStart w:id="72" w:name="_Toc109728356"/>
      <w:r w:rsidRPr="00C43543">
        <w:rPr>
          <w:rFonts w:ascii="Adobe Garamond Pro" w:hAnsi="Adobe Garamond Pro"/>
          <w14:ligatures w14:val="standardContextual"/>
        </w:rPr>
        <w:t xml:space="preserve">Dr. </w:t>
      </w:r>
      <w:proofErr w:type="spellStart"/>
      <w:r w:rsidRPr="00C43543">
        <w:rPr>
          <w:rFonts w:ascii="Adobe Garamond Pro" w:hAnsi="Adobe Garamond Pro"/>
          <w14:ligatures w14:val="standardContextual"/>
        </w:rPr>
        <w:t>Perrillo’s</w:t>
      </w:r>
      <w:proofErr w:type="spellEnd"/>
      <w:r w:rsidRPr="00C43543">
        <w:rPr>
          <w:rFonts w:ascii="Adobe Garamond Pro" w:hAnsi="Adobe Garamond Pro"/>
          <w14:ligatures w14:val="standardContextual"/>
        </w:rPr>
        <w:t xml:space="preserve"> opinions are admissible.</w:t>
      </w:r>
      <w:bookmarkEnd w:id="72"/>
    </w:p>
    <w:p w14:paraId="449DEB13" w14:textId="77777777" w:rsidR="00123D75" w:rsidRPr="00C43543" w:rsidRDefault="00123D75" w:rsidP="00123D75">
      <w:pPr>
        <w:pStyle w:val="BodyText"/>
        <w:rPr>
          <w:szCs w:val="28"/>
          <w14:ligatures w14:val="standardContextual"/>
        </w:rPr>
      </w:pPr>
      <w:r w:rsidRPr="00C43543">
        <w:rPr>
          <w:szCs w:val="28"/>
          <w14:ligatures w14:val="standardContextual"/>
        </w:rPr>
        <w:t xml:space="preserve">Monsanto contends that the trial court erred in admitting Dr. </w:t>
      </w:r>
      <w:proofErr w:type="spellStart"/>
      <w:r w:rsidRPr="00C43543">
        <w:rPr>
          <w:szCs w:val="28"/>
          <w14:ligatures w14:val="standardContextual"/>
        </w:rPr>
        <w:t>Perrillo’s</w:t>
      </w:r>
      <w:proofErr w:type="spellEnd"/>
      <w:r w:rsidRPr="00C43543">
        <w:rPr>
          <w:szCs w:val="28"/>
          <w14:ligatures w14:val="standardContextual"/>
        </w:rPr>
        <w:t xml:space="preserve"> testimony about (</w:t>
      </w:r>
      <w:proofErr w:type="spellStart"/>
      <w:r w:rsidRPr="00C43543">
        <w:rPr>
          <w:szCs w:val="28"/>
          <w14:ligatures w14:val="standardContextual"/>
        </w:rPr>
        <w:t>i</w:t>
      </w:r>
      <w:proofErr w:type="spellEnd"/>
      <w:r w:rsidRPr="00C43543">
        <w:rPr>
          <w:szCs w:val="28"/>
          <w14:ligatures w14:val="standardContextual"/>
        </w:rPr>
        <w:t>) the nature and extent of the plaintiffs’ brain damage, and (ii) the likely cause of that damage. Not so.</w:t>
      </w:r>
    </w:p>
    <w:p w14:paraId="79501FC0" w14:textId="19EC5FEB" w:rsidR="00123D75" w:rsidRPr="00C43543" w:rsidRDefault="00123D75" w:rsidP="00123D75">
      <w:pPr>
        <w:pStyle w:val="BodyText"/>
        <w:rPr>
          <w:szCs w:val="28"/>
          <w14:ligatures w14:val="standardContextual"/>
        </w:rPr>
      </w:pPr>
      <w:r w:rsidRPr="00C43543">
        <w:rPr>
          <w:b/>
          <w:bCs/>
          <w:i/>
          <w:iCs/>
          <w:szCs w:val="28"/>
          <w14:ligatures w14:val="standardContextual"/>
        </w:rPr>
        <w:t>Brain damage.</w:t>
      </w:r>
      <w:r w:rsidRPr="00C43543">
        <w:rPr>
          <w:rStyle w:val="FootnoteReference"/>
          <w:szCs w:val="28"/>
          <w14:ligatures w14:val="standardContextual"/>
        </w:rPr>
        <w:t xml:space="preserve"> </w:t>
      </w:r>
      <w:r w:rsidRPr="00C43543">
        <w:rPr>
          <w:szCs w:val="28"/>
          <w14:ligatures w14:val="standardContextual"/>
        </w:rPr>
        <w:t xml:space="preserve">In attacking Dr. </w:t>
      </w:r>
      <w:proofErr w:type="spellStart"/>
      <w:r w:rsidRPr="00C43543">
        <w:rPr>
          <w:szCs w:val="28"/>
          <w14:ligatures w14:val="standardContextual"/>
        </w:rPr>
        <w:t>Perrillo’s</w:t>
      </w:r>
      <w:proofErr w:type="spellEnd"/>
      <w:r w:rsidRPr="00C43543">
        <w:rPr>
          <w:szCs w:val="28"/>
          <w14:ligatures w14:val="standardContextual"/>
        </w:rPr>
        <w:t xml:space="preserve"> methods, Monsanto spends pages and pages detailing what it and its experts believe to be the best way to evaluate changes in</w:t>
      </w:r>
      <w:r w:rsidR="00296BC9" w:rsidRPr="00C43543">
        <w:rPr>
          <w:szCs w:val="28"/>
          <w14:ligatures w14:val="standardContextual"/>
        </w:rPr>
        <w:t xml:space="preserve"> </w:t>
      </w:r>
      <w:r w:rsidRPr="00C43543">
        <w:rPr>
          <w:szCs w:val="28"/>
          <w14:ligatures w14:val="standardContextual"/>
        </w:rPr>
        <w:t xml:space="preserve">cognitive function. </w:t>
      </w:r>
      <w:r w:rsidRPr="00C43543">
        <w:rPr>
          <w:i/>
          <w:iCs/>
          <w:szCs w:val="28"/>
          <w14:ligatures w14:val="standardContextual"/>
        </w:rPr>
        <w:t>See</w:t>
      </w:r>
      <w:r w:rsidRPr="00C43543">
        <w:rPr>
          <w:szCs w:val="28"/>
          <w14:ligatures w14:val="standardContextual"/>
        </w:rPr>
        <w:t xml:space="preserve"> Br. 105-20. But its own arguments make clear that its concerns are about </w:t>
      </w:r>
      <w:r w:rsidRPr="00C43543">
        <w:rPr>
          <w:i/>
          <w:iCs/>
          <w:szCs w:val="28"/>
          <w14:ligatures w14:val="standardContextual"/>
        </w:rPr>
        <w:t>how</w:t>
      </w:r>
      <w:r w:rsidRPr="00C43543">
        <w:rPr>
          <w:szCs w:val="28"/>
          <w14:ligatures w14:val="standardContextual"/>
        </w:rPr>
        <w:t xml:space="preserve"> Dr. </w:t>
      </w:r>
      <w:proofErr w:type="spellStart"/>
      <w:r w:rsidRPr="00C43543">
        <w:rPr>
          <w:szCs w:val="28"/>
          <w14:ligatures w14:val="standardContextual"/>
        </w:rPr>
        <w:t>Perrillo</w:t>
      </w:r>
      <w:proofErr w:type="spellEnd"/>
      <w:r w:rsidRPr="00C43543">
        <w:rPr>
          <w:szCs w:val="28"/>
          <w14:ligatures w14:val="standardContextual"/>
        </w:rPr>
        <w:t xml:space="preserve"> conducted the neuropsychological tests of the plaintiffs here—not whether his testing methodologies reflect generally accepted scientific theories. As we have explained, such </w:t>
      </w:r>
      <w:r w:rsidRPr="00C43543">
        <w:rPr>
          <w:szCs w:val="28"/>
          <w14:ligatures w14:val="standardContextual"/>
        </w:rPr>
        <w:lastRenderedPageBreak/>
        <w:t>arguments go to the weight of the expert evidence, not its admissibility.</w:t>
      </w:r>
      <w:r w:rsidRPr="00C43543">
        <w:rPr>
          <w:i/>
          <w:iCs/>
          <w:szCs w:val="28"/>
          <w14:ligatures w14:val="standardContextual"/>
        </w:rPr>
        <w:t xml:space="preserve"> See, e.g.</w:t>
      </w:r>
      <w:r w:rsidRPr="00C43543">
        <w:rPr>
          <w:szCs w:val="28"/>
          <w14:ligatures w14:val="standardContextual"/>
        </w:rPr>
        <w:t xml:space="preserve">, </w:t>
      </w:r>
      <w:r w:rsidRPr="00C43543">
        <w:rPr>
          <w:i/>
          <w:iCs/>
          <w:szCs w:val="28"/>
          <w14:ligatures w14:val="standardContextual"/>
        </w:rPr>
        <w:t>Anderson</w:t>
      </w:r>
      <w:r w:rsidRPr="00C43543">
        <w:rPr>
          <w:szCs w:val="28"/>
          <w14:ligatures w14:val="standardContextual"/>
        </w:rPr>
        <w:t>, 172 Wn.2d at 603</w:t>
      </w:r>
      <w:r w:rsidR="00637913" w:rsidRPr="00C43543">
        <w:rPr>
          <w:szCs w:val="28"/>
          <w14:ligatures w14:val="standardContextual"/>
        </w:rPr>
        <w:fldChar w:fldCharType="begin"/>
      </w:r>
      <w:r w:rsidR="00637913" w:rsidRPr="00C43543">
        <w:rPr>
          <w:szCs w:val="28"/>
          <w14:ligatures w14:val="standardContextual"/>
        </w:rPr>
        <w:instrText xml:space="preserve"> TA \s "Anderson v. Akzo, 172 Wn.2d 593" </w:instrText>
      </w:r>
      <w:r w:rsidR="00637913" w:rsidRPr="00C43543">
        <w:rPr>
          <w:szCs w:val="28"/>
          <w14:ligatures w14:val="standardContextual"/>
        </w:rPr>
        <w:fldChar w:fldCharType="end"/>
      </w:r>
      <w:r w:rsidRPr="00C43543">
        <w:rPr>
          <w:szCs w:val="28"/>
          <w14:ligatures w14:val="standardContextual"/>
        </w:rPr>
        <w:t xml:space="preserve">; </w:t>
      </w:r>
      <w:r w:rsidR="00637913" w:rsidRPr="00C43543">
        <w:rPr>
          <w:i/>
          <w:iCs/>
          <w:szCs w:val="28"/>
          <w14:ligatures w14:val="standardContextual"/>
        </w:rPr>
        <w:t xml:space="preserve">State v. </w:t>
      </w:r>
      <w:r w:rsidRPr="00C43543">
        <w:rPr>
          <w:i/>
          <w:iCs/>
          <w:szCs w:val="28"/>
          <w14:ligatures w14:val="standardContextual"/>
        </w:rPr>
        <w:t>Gregory</w:t>
      </w:r>
      <w:r w:rsidRPr="00C43543">
        <w:rPr>
          <w:szCs w:val="28"/>
          <w14:ligatures w14:val="standardContextual"/>
        </w:rPr>
        <w:t xml:space="preserve">, 158 Wn.2d </w:t>
      </w:r>
      <w:r w:rsidR="00637913" w:rsidRPr="00C43543">
        <w:rPr>
          <w:szCs w:val="28"/>
          <w14:ligatures w14:val="standardContextual"/>
        </w:rPr>
        <w:t>759,</w:t>
      </w:r>
      <w:r w:rsidRPr="00C43543">
        <w:rPr>
          <w:szCs w:val="28"/>
          <w14:ligatures w14:val="standardContextual"/>
        </w:rPr>
        <w:t xml:space="preserve"> 830</w:t>
      </w:r>
      <w:r w:rsidR="00637913" w:rsidRPr="00C43543">
        <w:rPr>
          <w:szCs w:val="28"/>
          <w14:ligatures w14:val="standardContextual"/>
        </w:rPr>
        <w:t>, 147 P.3d 1201 (2006)</w:t>
      </w:r>
      <w:r w:rsidR="00637913" w:rsidRPr="00C43543">
        <w:rPr>
          <w:szCs w:val="28"/>
          <w14:ligatures w14:val="standardContextual"/>
        </w:rPr>
        <w:fldChar w:fldCharType="begin"/>
      </w:r>
      <w:r w:rsidR="00637913" w:rsidRPr="00C43543">
        <w:rPr>
          <w:szCs w:val="28"/>
          <w14:ligatures w14:val="standardContextual"/>
        </w:rPr>
        <w:instrText xml:space="preserve"> TA \l "</w:instrText>
      </w:r>
      <w:r w:rsidR="00637913" w:rsidRPr="00C43543">
        <w:rPr>
          <w:i/>
          <w:iCs/>
          <w:szCs w:val="28"/>
          <w14:ligatures w14:val="standardContextual"/>
        </w:rPr>
        <w:instrText>State v. Gregory</w:instrText>
      </w:r>
      <w:r w:rsidR="00637913" w:rsidRPr="00C43543">
        <w:rPr>
          <w:szCs w:val="28"/>
          <w14:ligatures w14:val="standardContextual"/>
        </w:rPr>
        <w:instrText>,</w:instrText>
      </w:r>
      <w:r w:rsidR="00637913" w:rsidRPr="00C43543">
        <w:rPr>
          <w:szCs w:val="28"/>
          <w14:ligatures w14:val="standardContextual"/>
        </w:rPr>
        <w:br/>
        <w:instrText xml:space="preserve">158 Wn.2d 759, 147 P.3d 1201 (2006)" \s "State v. Gregory, 158 Wn.2d 759" \c 1 </w:instrText>
      </w:r>
      <w:r w:rsidR="00637913" w:rsidRPr="00C43543">
        <w:rPr>
          <w:szCs w:val="28"/>
          <w14:ligatures w14:val="standardContextual"/>
        </w:rPr>
        <w:fldChar w:fldCharType="end"/>
      </w:r>
      <w:r w:rsidRPr="00C43543">
        <w:rPr>
          <w:szCs w:val="28"/>
          <w14:ligatures w14:val="standardContextual"/>
        </w:rPr>
        <w:t>.</w:t>
      </w:r>
    </w:p>
    <w:p w14:paraId="11DEFF84" w14:textId="7AC15B92" w:rsidR="00123D75" w:rsidRPr="00C43543" w:rsidRDefault="00123D75" w:rsidP="00123D75">
      <w:pPr>
        <w:pStyle w:val="BodyText"/>
        <w:rPr>
          <w:szCs w:val="28"/>
          <w14:ligatures w14:val="standardContextual"/>
        </w:rPr>
      </w:pPr>
      <w:r w:rsidRPr="00C43543">
        <w:rPr>
          <w:szCs w:val="28"/>
          <w14:ligatures w14:val="standardContextual"/>
        </w:rPr>
        <w:t xml:space="preserve">Monsanto has waived any </w:t>
      </w:r>
      <w:r w:rsidRPr="00C43543">
        <w:rPr>
          <w:i/>
          <w:iCs/>
          <w:szCs w:val="28"/>
          <w14:ligatures w14:val="standardContextual"/>
        </w:rPr>
        <w:t>Frye</w:t>
      </w:r>
      <w:r w:rsidRPr="00C43543">
        <w:rPr>
          <w:szCs w:val="28"/>
          <w14:ligatures w14:val="standardContextual"/>
        </w:rPr>
        <w:t xml:space="preserve"> challenge to Dr. </w:t>
      </w:r>
      <w:proofErr w:type="spellStart"/>
      <w:r w:rsidRPr="00C43543">
        <w:rPr>
          <w:szCs w:val="28"/>
          <w14:ligatures w14:val="standardContextual"/>
        </w:rPr>
        <w:t>Perrillo’s</w:t>
      </w:r>
      <w:proofErr w:type="spellEnd"/>
      <w:r w:rsidRPr="00C43543">
        <w:rPr>
          <w:szCs w:val="28"/>
          <w14:ligatures w14:val="standardContextual"/>
        </w:rPr>
        <w:t xml:space="preserve"> testimony. But even if it hadn’t, its challenge fails. Monsanto concedes that the generally accepted method for assessing “neuropsychological deficits” is to compare pre-injury “level[s] of function” (also known as “premorbid levels”) to current functioning. Br. 106-07; </w:t>
      </w:r>
      <w:r w:rsidRPr="00C43543">
        <w:rPr>
          <w:i/>
          <w:iCs/>
          <w:szCs w:val="28"/>
          <w14:ligatures w14:val="standardContextual"/>
        </w:rPr>
        <w:t>see</w:t>
      </w:r>
      <w:r w:rsidRPr="00C43543">
        <w:rPr>
          <w:szCs w:val="28"/>
          <w14:ligatures w14:val="standardContextual"/>
        </w:rPr>
        <w:t xml:space="preserve"> Tr. 1076-77. It also concedes that the Test of Premorbid Function is a generally accepted method for determining a patient’s pre-injury scores. Br. 105-07. </w:t>
      </w:r>
      <w:r w:rsidR="00741A16" w:rsidRPr="00C43543">
        <w:rPr>
          <w:szCs w:val="28"/>
          <w14:ligatures w14:val="standardContextual"/>
        </w:rPr>
        <w:t>Yet t</w:t>
      </w:r>
      <w:r w:rsidRPr="00C43543">
        <w:rPr>
          <w:szCs w:val="28"/>
          <w14:ligatures w14:val="standardContextual"/>
        </w:rPr>
        <w:t xml:space="preserve">hese are the precise methods that Dr. </w:t>
      </w:r>
      <w:proofErr w:type="spellStart"/>
      <w:r w:rsidRPr="00C43543">
        <w:rPr>
          <w:szCs w:val="28"/>
          <w14:ligatures w14:val="standardContextual"/>
        </w:rPr>
        <w:t>Perrillo</w:t>
      </w:r>
      <w:proofErr w:type="spellEnd"/>
      <w:r w:rsidRPr="00C43543">
        <w:rPr>
          <w:szCs w:val="28"/>
          <w14:ligatures w14:val="standardContextual"/>
        </w:rPr>
        <w:t xml:space="preserve"> used. </w:t>
      </w:r>
      <w:r w:rsidRPr="00C43543">
        <w:rPr>
          <w:i/>
          <w:iCs/>
          <w:szCs w:val="28"/>
          <w14:ligatures w14:val="standardContextual"/>
        </w:rPr>
        <w:t xml:space="preserve">See </w:t>
      </w:r>
      <w:r w:rsidRPr="00C43543">
        <w:rPr>
          <w:szCs w:val="28"/>
          <w14:ligatures w14:val="standardContextual"/>
        </w:rPr>
        <w:t xml:space="preserve">Tr. 1086, 1099, 1106, 1118, 1162, 1169-70; </w:t>
      </w:r>
      <w:r w:rsidRPr="00C43543">
        <w:rPr>
          <w:i/>
          <w:iCs/>
          <w:szCs w:val="28"/>
          <w14:ligatures w14:val="standardContextual"/>
        </w:rPr>
        <w:t xml:space="preserve">see </w:t>
      </w:r>
      <w:r w:rsidRPr="00C43543">
        <w:rPr>
          <w:szCs w:val="28"/>
          <w14:ligatures w14:val="standardContextual"/>
        </w:rPr>
        <w:t xml:space="preserve">CP 6602, 6622, 6640-41. And other courts have found “Dr. </w:t>
      </w:r>
      <w:proofErr w:type="spellStart"/>
      <w:r w:rsidRPr="00C43543">
        <w:rPr>
          <w:szCs w:val="28"/>
          <w14:ligatures w14:val="standardContextual"/>
        </w:rPr>
        <w:t>Perrillo’s</w:t>
      </w:r>
      <w:proofErr w:type="spellEnd"/>
      <w:r w:rsidRPr="00C43543">
        <w:rPr>
          <w:szCs w:val="28"/>
          <w14:ligatures w14:val="standardContextual"/>
        </w:rPr>
        <w:t xml:space="preserve"> assessment[s]” using these methods to be “persuasive.” </w:t>
      </w:r>
      <w:r w:rsidRPr="00C43543">
        <w:rPr>
          <w:i/>
          <w:iCs/>
          <w:szCs w:val="28"/>
          <w14:ligatures w14:val="standardContextual"/>
        </w:rPr>
        <w:t>See Doe v. Prudential Ins. Co.</w:t>
      </w:r>
      <w:r w:rsidRPr="00C43543">
        <w:rPr>
          <w:szCs w:val="28"/>
          <w14:ligatures w14:val="standardContextual"/>
        </w:rPr>
        <w:t>, 245 F. Supp. 3d 1172, 1188 (C.D. Cal. 2017)</w:t>
      </w:r>
      <w:r w:rsidR="00637913" w:rsidRPr="00C43543">
        <w:rPr>
          <w:szCs w:val="28"/>
          <w14:ligatures w14:val="standardContextual"/>
        </w:rPr>
        <w:fldChar w:fldCharType="begin"/>
      </w:r>
      <w:r w:rsidR="00637913" w:rsidRPr="00C43543">
        <w:rPr>
          <w:szCs w:val="28"/>
          <w14:ligatures w14:val="standardContextual"/>
        </w:rPr>
        <w:instrText xml:space="preserve"> TA \l "</w:instrText>
      </w:r>
      <w:r w:rsidR="00637913" w:rsidRPr="00C43543">
        <w:rPr>
          <w:i/>
          <w:iCs/>
          <w:szCs w:val="28"/>
          <w14:ligatures w14:val="standardContextual"/>
        </w:rPr>
        <w:instrText>Doe v. Prudential Insuance Co.</w:instrText>
      </w:r>
      <w:r w:rsidR="00637913" w:rsidRPr="00C43543">
        <w:rPr>
          <w:szCs w:val="28"/>
          <w14:ligatures w14:val="standardContextual"/>
        </w:rPr>
        <w:instrText>,</w:instrText>
      </w:r>
      <w:r w:rsidR="00637913" w:rsidRPr="00C43543">
        <w:rPr>
          <w:szCs w:val="28"/>
          <w14:ligatures w14:val="standardContextual"/>
        </w:rPr>
        <w:br/>
        <w:instrText xml:space="preserve">245 F. Supp. 3d 1172 (C.D. Cal. 2017)" \s "Doe v. Prudential, 245 F. Supp. 3d 1172" \c 1 </w:instrText>
      </w:r>
      <w:r w:rsidR="00637913" w:rsidRPr="00C43543">
        <w:rPr>
          <w:szCs w:val="28"/>
          <w14:ligatures w14:val="standardContextual"/>
        </w:rPr>
        <w:fldChar w:fldCharType="end"/>
      </w:r>
      <w:r w:rsidRPr="00C43543">
        <w:rPr>
          <w:szCs w:val="28"/>
          <w14:ligatures w14:val="standardContextual"/>
        </w:rPr>
        <w:t>.</w:t>
      </w:r>
    </w:p>
    <w:p w14:paraId="32FD1AAF" w14:textId="52F34502" w:rsidR="00123D75" w:rsidRPr="00C43543" w:rsidRDefault="00123D75" w:rsidP="00123D75">
      <w:pPr>
        <w:pStyle w:val="BodyText"/>
        <w:rPr>
          <w:szCs w:val="28"/>
          <w14:ligatures w14:val="standardContextual"/>
        </w:rPr>
      </w:pPr>
      <w:r w:rsidRPr="00C43543">
        <w:rPr>
          <w:szCs w:val="28"/>
          <w14:ligatures w14:val="standardContextual"/>
        </w:rPr>
        <w:t xml:space="preserve">The problem, according to Monsanto, is that Dr. </w:t>
      </w:r>
      <w:proofErr w:type="spellStart"/>
      <w:r w:rsidRPr="00C43543">
        <w:rPr>
          <w:szCs w:val="28"/>
          <w14:ligatures w14:val="standardContextual"/>
        </w:rPr>
        <w:t>Perrillo</w:t>
      </w:r>
      <w:proofErr w:type="spellEnd"/>
      <w:r w:rsidRPr="00C43543">
        <w:rPr>
          <w:szCs w:val="28"/>
          <w14:ligatures w14:val="standardContextual"/>
        </w:rPr>
        <w:t xml:space="preserve"> didn’t perform the above methods correctly </w:t>
      </w:r>
      <w:r w:rsidRPr="00C43543">
        <w:rPr>
          <w:i/>
          <w:iCs/>
          <w:szCs w:val="28"/>
          <w14:ligatures w14:val="standardContextual"/>
        </w:rPr>
        <w:t>here</w:t>
      </w:r>
      <w:r w:rsidRPr="00C43543">
        <w:rPr>
          <w:szCs w:val="28"/>
          <w14:ligatures w14:val="standardContextual"/>
        </w:rPr>
        <w:t xml:space="preserve">. </w:t>
      </w:r>
      <w:proofErr w:type="gramStart"/>
      <w:r w:rsidRPr="00C43543">
        <w:rPr>
          <w:szCs w:val="28"/>
          <w14:ligatures w14:val="standardContextual"/>
        </w:rPr>
        <w:t>In particular, it</w:t>
      </w:r>
      <w:proofErr w:type="gramEnd"/>
      <w:r w:rsidRPr="00C43543">
        <w:rPr>
          <w:szCs w:val="28"/>
          <w14:ligatures w14:val="standardContextual"/>
        </w:rPr>
        <w:t xml:space="preserve"> critiques Dr. </w:t>
      </w:r>
      <w:proofErr w:type="spellStart"/>
      <w:r w:rsidRPr="00C43543">
        <w:rPr>
          <w:szCs w:val="28"/>
          <w14:ligatures w14:val="standardContextual"/>
        </w:rPr>
        <w:t>Perrillo’s</w:t>
      </w:r>
      <w:proofErr w:type="spellEnd"/>
      <w:r w:rsidRPr="00C43543">
        <w:rPr>
          <w:szCs w:val="28"/>
          <w14:ligatures w14:val="standardContextual"/>
        </w:rPr>
        <w:t xml:space="preserve"> selection of which data (</w:t>
      </w:r>
      <w:r w:rsidRPr="00C43543">
        <w:rPr>
          <w:i/>
          <w:iCs/>
          <w:szCs w:val="28"/>
          <w14:ligatures w14:val="standardContextual"/>
        </w:rPr>
        <w:t>i.e.</w:t>
      </w:r>
      <w:r w:rsidRPr="00C43543">
        <w:rPr>
          <w:szCs w:val="28"/>
          <w14:ligatures w14:val="standardContextual"/>
        </w:rPr>
        <w:t>, pre-injury scores and post-injury test results) to compare</w:t>
      </w:r>
      <w:r w:rsidR="00296BC9" w:rsidRPr="00C43543">
        <w:rPr>
          <w:szCs w:val="28"/>
          <w14:ligatures w14:val="standardContextual"/>
        </w:rPr>
        <w:t xml:space="preserve">, and </w:t>
      </w:r>
      <w:r w:rsidRPr="00C43543">
        <w:rPr>
          <w:szCs w:val="28"/>
          <w14:ligatures w14:val="standardContextual"/>
        </w:rPr>
        <w:t xml:space="preserve">his decision to create </w:t>
      </w:r>
      <w:r w:rsidRPr="00C43543">
        <w:rPr>
          <w:szCs w:val="28"/>
          <w14:ligatures w14:val="standardContextual"/>
        </w:rPr>
        <w:lastRenderedPageBreak/>
        <w:t xml:space="preserve">“composite scores.” But neither of these critiques shows that Dr. </w:t>
      </w:r>
      <w:proofErr w:type="spellStart"/>
      <w:r w:rsidRPr="00C43543">
        <w:rPr>
          <w:szCs w:val="28"/>
          <w14:ligatures w14:val="standardContextual"/>
        </w:rPr>
        <w:t>Perrillo</w:t>
      </w:r>
      <w:proofErr w:type="spellEnd"/>
      <w:r w:rsidRPr="00C43543">
        <w:rPr>
          <w:szCs w:val="28"/>
          <w14:ligatures w14:val="standardContextual"/>
        </w:rPr>
        <w:t xml:space="preserve"> failed to apply “generally accepted” scientific principles and techniques. </w:t>
      </w:r>
      <w:r w:rsidRPr="00C43543">
        <w:rPr>
          <w:i/>
          <w:iCs/>
          <w:szCs w:val="28"/>
          <w14:ligatures w14:val="standardContextual"/>
        </w:rPr>
        <w:t xml:space="preserve">See </w:t>
      </w:r>
      <w:proofErr w:type="spellStart"/>
      <w:r w:rsidRPr="00C43543">
        <w:rPr>
          <w:i/>
          <w:iCs/>
          <w:szCs w:val="28"/>
          <w14:ligatures w14:val="standardContextual"/>
        </w:rPr>
        <w:t>Chinnock</w:t>
      </w:r>
      <w:proofErr w:type="spellEnd"/>
      <w:r w:rsidRPr="00C43543">
        <w:rPr>
          <w:i/>
          <w:iCs/>
          <w:szCs w:val="28"/>
          <w14:ligatures w14:val="standardContextual"/>
        </w:rPr>
        <w:t xml:space="preserve"> v. Safeco Ins. Co. of Am.</w:t>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2022 WL 1469545, at *3 (D. Colo. May 10, 2022)</w:t>
      </w:r>
      <w:r w:rsidR="003E4F43" w:rsidRPr="00C43543">
        <w:rPr>
          <w:szCs w:val="28"/>
          <w14:ligatures w14:val="standardContextual"/>
        </w:rPr>
        <w:fldChar w:fldCharType="begin"/>
      </w:r>
      <w:r w:rsidR="003E4F43" w:rsidRPr="00C43543">
        <w:rPr>
          <w:szCs w:val="28"/>
          <w14:ligatures w14:val="standardContextual"/>
        </w:rPr>
        <w:instrText xml:space="preserve"> TA \l "</w:instrText>
      </w:r>
      <w:r w:rsidR="003E4F43" w:rsidRPr="00C43543">
        <w:rPr>
          <w:i/>
          <w:iCs/>
          <w:szCs w:val="28"/>
          <w14:ligatures w14:val="standardContextual"/>
        </w:rPr>
        <w:instrText>Chinnock v. Safeco Insurance Co. of America</w:instrText>
      </w:r>
      <w:r w:rsidR="003E4F43" w:rsidRPr="00C43543">
        <w:rPr>
          <w:szCs w:val="28"/>
          <w14:ligatures w14:val="standardContextual"/>
        </w:rPr>
        <w:instrText>,</w:instrText>
      </w:r>
      <w:r w:rsidR="003E4F43" w:rsidRPr="00C43543">
        <w:rPr>
          <w:i/>
          <w:iCs/>
          <w:szCs w:val="28"/>
          <w14:ligatures w14:val="standardContextual"/>
        </w:rPr>
        <w:br/>
      </w:r>
      <w:r w:rsidR="003E4F43" w:rsidRPr="00C43543">
        <w:rPr>
          <w:szCs w:val="28"/>
          <w14:ligatures w14:val="standardContextual"/>
        </w:rPr>
        <w:instrText xml:space="preserve">2022 WL 1469545 (D. Colo. May 10, 2022)" \s "Chinnock v. Safeco, 2022 WL 1469545" \c 1 </w:instrText>
      </w:r>
      <w:r w:rsidR="003E4F43" w:rsidRPr="00C43543">
        <w:rPr>
          <w:szCs w:val="28"/>
          <w14:ligatures w14:val="standardContextual"/>
        </w:rPr>
        <w:fldChar w:fldCharType="end"/>
      </w:r>
      <w:r w:rsidRPr="00C43543">
        <w:rPr>
          <w:szCs w:val="28"/>
          <w14:ligatures w14:val="standardContextual"/>
        </w:rPr>
        <w:t xml:space="preserve"> (noting that whether “Dr. </w:t>
      </w:r>
      <w:proofErr w:type="spellStart"/>
      <w:r w:rsidRPr="00C43543">
        <w:rPr>
          <w:szCs w:val="28"/>
          <w14:ligatures w14:val="standardContextual"/>
        </w:rPr>
        <w:t>Perrillo</w:t>
      </w:r>
      <w:proofErr w:type="spellEnd"/>
      <w:r w:rsidRPr="00C43543">
        <w:rPr>
          <w:szCs w:val="28"/>
          <w14:ligatures w14:val="standardContextual"/>
        </w:rPr>
        <w:t xml:space="preserve"> improperly relied on composite scores” was “a dispute about how to interpret Plaintiff’s test results,” not a basis for “render[</w:t>
      </w:r>
      <w:proofErr w:type="spellStart"/>
      <w:r w:rsidRPr="00C43543">
        <w:rPr>
          <w:szCs w:val="28"/>
          <w14:ligatures w14:val="standardContextual"/>
        </w:rPr>
        <w:t>ing</w:t>
      </w:r>
      <w:proofErr w:type="spellEnd"/>
      <w:r w:rsidRPr="00C43543">
        <w:rPr>
          <w:szCs w:val="28"/>
          <w14:ligatures w14:val="standardContextual"/>
        </w:rPr>
        <w:t xml:space="preserve">] Dr. </w:t>
      </w:r>
      <w:proofErr w:type="spellStart"/>
      <w:r w:rsidRPr="00C43543">
        <w:rPr>
          <w:szCs w:val="28"/>
          <w14:ligatures w14:val="standardContextual"/>
        </w:rPr>
        <w:t>Perrillo’s</w:t>
      </w:r>
      <w:proofErr w:type="spellEnd"/>
      <w:r w:rsidRPr="00C43543">
        <w:rPr>
          <w:szCs w:val="28"/>
          <w14:ligatures w14:val="standardContextual"/>
        </w:rPr>
        <w:t xml:space="preserve"> opinions inadmissible”). </w:t>
      </w:r>
    </w:p>
    <w:p w14:paraId="32F57A1A" w14:textId="4FA44A6B" w:rsidR="00123D75" w:rsidRPr="00C43543" w:rsidRDefault="00123D75" w:rsidP="00123D75">
      <w:pPr>
        <w:pStyle w:val="BodyText"/>
        <w:rPr>
          <w:szCs w:val="28"/>
          <w14:ligatures w14:val="standardContextual"/>
        </w:rPr>
      </w:pPr>
      <w:r w:rsidRPr="00C43543">
        <w:rPr>
          <w:szCs w:val="28"/>
          <w14:ligatures w14:val="standardContextual"/>
        </w:rPr>
        <w:t xml:space="preserve">The Supreme Court has explained why the strategy that Monsanto has deployed against Dr. </w:t>
      </w:r>
      <w:proofErr w:type="spellStart"/>
      <w:r w:rsidRPr="00C43543">
        <w:rPr>
          <w:szCs w:val="28"/>
          <w14:ligatures w14:val="standardContextual"/>
        </w:rPr>
        <w:t>Perrillo’s</w:t>
      </w:r>
      <w:proofErr w:type="spellEnd"/>
      <w:r w:rsidRPr="00C43543">
        <w:rPr>
          <w:szCs w:val="28"/>
          <w14:ligatures w14:val="standardContextual"/>
        </w:rPr>
        <w:t xml:space="preserve"> testimony—dressing up critiques of an expert’s application as </w:t>
      </w:r>
      <w:r w:rsidRPr="00C43543">
        <w:rPr>
          <w:i/>
          <w:iCs/>
          <w:szCs w:val="28"/>
          <w14:ligatures w14:val="standardContextual"/>
        </w:rPr>
        <w:t xml:space="preserve">Frye </w:t>
      </w:r>
      <w:r w:rsidRPr="00C43543">
        <w:rPr>
          <w:szCs w:val="28"/>
          <w14:ligatures w14:val="standardContextual"/>
        </w:rPr>
        <w:t xml:space="preserve">challenges—must be rejected. “Requiring general acceptance of each discrete and ever more specific part of an expert opinion,” the Court cautioned, “would place virtually </w:t>
      </w:r>
      <w:r w:rsidRPr="00C43543">
        <w:rPr>
          <w:i/>
          <w:iCs/>
          <w:szCs w:val="28"/>
          <w14:ligatures w14:val="standardContextual"/>
        </w:rPr>
        <w:t>all</w:t>
      </w:r>
      <w:r w:rsidRPr="00C43543">
        <w:rPr>
          <w:szCs w:val="28"/>
          <w14:ligatures w14:val="standardContextual"/>
        </w:rPr>
        <w:t xml:space="preserve"> opinions based upon scientific data into some part of the scientific twilight zone.” </w:t>
      </w:r>
      <w:r w:rsidRPr="00C43543">
        <w:rPr>
          <w:i/>
          <w:iCs/>
          <w:szCs w:val="28"/>
          <w14:ligatures w14:val="standardContextual"/>
        </w:rPr>
        <w:t>Hamilton</w:t>
      </w:r>
      <w:r w:rsidRPr="00C43543">
        <w:rPr>
          <w:szCs w:val="28"/>
          <w14:ligatures w14:val="standardContextual"/>
        </w:rPr>
        <w:t>, 193 Wn.2d at 131</w:t>
      </w:r>
      <w:r w:rsidR="003E4F43" w:rsidRPr="00C43543">
        <w:rPr>
          <w:szCs w:val="28"/>
          <w14:ligatures w14:val="standardContextual"/>
        </w:rPr>
        <w:fldChar w:fldCharType="begin"/>
      </w:r>
      <w:r w:rsidR="003E4F43" w:rsidRPr="00C43543">
        <w:rPr>
          <w:szCs w:val="28"/>
          <w14:ligatures w14:val="standardContextual"/>
        </w:rPr>
        <w:instrText xml:space="preserve"> TA \s "Dussault v. Hamilton, 193 Wn.2d 113" </w:instrText>
      </w:r>
      <w:r w:rsidR="003E4F43" w:rsidRPr="00C43543">
        <w:rPr>
          <w:szCs w:val="28"/>
          <w14:ligatures w14:val="standardContextual"/>
        </w:rPr>
        <w:fldChar w:fldCharType="end"/>
      </w:r>
      <w:r w:rsidRPr="00C43543">
        <w:rPr>
          <w:szCs w:val="28"/>
          <w14:ligatures w14:val="standardContextual"/>
        </w:rPr>
        <w:t xml:space="preserve"> (emphasis added). When an expert applies accepted scientific principles, as Dr. </w:t>
      </w:r>
      <w:proofErr w:type="spellStart"/>
      <w:r w:rsidRPr="00C43543">
        <w:rPr>
          <w:szCs w:val="28"/>
          <w14:ligatures w14:val="standardContextual"/>
        </w:rPr>
        <w:t>Perrillo</w:t>
      </w:r>
      <w:proofErr w:type="spellEnd"/>
      <w:r w:rsidRPr="00C43543">
        <w:rPr>
          <w:szCs w:val="28"/>
          <w14:ligatures w14:val="standardContextual"/>
        </w:rPr>
        <w:t xml:space="preserve"> did here, the trial court’s job is done</w:t>
      </w:r>
      <w:r w:rsidR="00741A16" w:rsidRPr="00C43543">
        <w:rPr>
          <w:szCs w:val="28"/>
          <w14:ligatures w14:val="standardContextual"/>
        </w:rPr>
        <w:t>,</w:t>
      </w:r>
      <w:r w:rsidRPr="00C43543">
        <w:rPr>
          <w:szCs w:val="28"/>
          <w14:ligatures w14:val="standardContextual"/>
        </w:rPr>
        <w:t xml:space="preserve"> and it is up to the jury to decide whether the expert’s analysis is persuasive.</w:t>
      </w:r>
      <w:r w:rsidRPr="00C43543">
        <w:rPr>
          <w:rStyle w:val="FootnoteReference"/>
          <w:szCs w:val="28"/>
          <w14:ligatures w14:val="standardContextual"/>
        </w:rPr>
        <w:footnoteReference w:id="22"/>
      </w:r>
    </w:p>
    <w:p w14:paraId="0E59F8B6" w14:textId="353C893F" w:rsidR="00123D75" w:rsidRPr="00C43543" w:rsidRDefault="00123D75" w:rsidP="00123D75">
      <w:pPr>
        <w:pStyle w:val="BodyText"/>
        <w:rPr>
          <w:szCs w:val="28"/>
          <w14:ligatures w14:val="standardContextual"/>
        </w:rPr>
      </w:pPr>
      <w:r w:rsidRPr="00C43543">
        <w:rPr>
          <w:b/>
          <w:bCs/>
          <w:i/>
          <w:iCs/>
          <w:szCs w:val="28"/>
          <w14:ligatures w14:val="standardContextual"/>
        </w:rPr>
        <w:lastRenderedPageBreak/>
        <w:t>Causation.</w:t>
      </w:r>
      <w:r w:rsidRPr="00C43543">
        <w:rPr>
          <w:b/>
          <w:bCs/>
          <w:szCs w:val="28"/>
          <w14:ligatures w14:val="standardContextual"/>
        </w:rPr>
        <w:t xml:space="preserve"> </w:t>
      </w:r>
      <w:r w:rsidRPr="00C43543">
        <w:rPr>
          <w:szCs w:val="28"/>
          <w14:ligatures w14:val="standardContextual"/>
        </w:rPr>
        <w:t xml:space="preserve">This Court should also reject Monsanto’s objections (at 100-05) to Dr. </w:t>
      </w:r>
      <w:proofErr w:type="spellStart"/>
      <w:r w:rsidRPr="00C43543">
        <w:rPr>
          <w:szCs w:val="28"/>
          <w14:ligatures w14:val="standardContextual"/>
        </w:rPr>
        <w:t>Perrillo’s</w:t>
      </w:r>
      <w:proofErr w:type="spellEnd"/>
      <w:r w:rsidRPr="00C43543">
        <w:rPr>
          <w:szCs w:val="28"/>
          <w14:ligatures w14:val="standardContextual"/>
        </w:rPr>
        <w:t xml:space="preserve"> testimony that PCBs were the likely cause of the plaintiffs’ brain damage.</w:t>
      </w:r>
    </w:p>
    <w:p w14:paraId="2CA7199D" w14:textId="645F2208" w:rsidR="00123D75" w:rsidRPr="00C43543" w:rsidRDefault="00123D75" w:rsidP="00123D75">
      <w:pPr>
        <w:pStyle w:val="BodyText"/>
        <w:rPr>
          <w:szCs w:val="28"/>
          <w14:ligatures w14:val="standardContextual"/>
        </w:rPr>
      </w:pPr>
      <w:r w:rsidRPr="00C43543">
        <w:rPr>
          <w:szCs w:val="28"/>
          <w14:ligatures w14:val="standardContextual"/>
        </w:rPr>
        <w:t xml:space="preserve">To start, Monsanto is just wrong that, “because he is not a medical doctor,” Dr. </w:t>
      </w:r>
      <w:proofErr w:type="spellStart"/>
      <w:r w:rsidRPr="00C43543">
        <w:rPr>
          <w:szCs w:val="28"/>
          <w14:ligatures w14:val="standardContextual"/>
        </w:rPr>
        <w:t>Perrillo</w:t>
      </w:r>
      <w:proofErr w:type="spellEnd"/>
      <w:r w:rsidRPr="00C43543">
        <w:rPr>
          <w:szCs w:val="28"/>
          <w14:ligatures w14:val="standardContextual"/>
        </w:rPr>
        <w:t xml:space="preserve"> “lacks the required qualifications” to testify about the cause of the plaintiffs’ brain injuries. Br. 100-03. </w:t>
      </w:r>
      <w:r w:rsidR="00741A16" w:rsidRPr="00C43543">
        <w:rPr>
          <w:szCs w:val="28"/>
          <w14:ligatures w14:val="standardContextual"/>
        </w:rPr>
        <w:t>Washington courts “look beyond . . . credentials.”</w:t>
      </w:r>
      <w:r w:rsidR="00741A16" w:rsidRPr="00C43543">
        <w:rPr>
          <w:i/>
          <w:iCs/>
          <w:szCs w:val="28"/>
          <w14:ligatures w14:val="standardContextual"/>
        </w:rPr>
        <w:t xml:space="preserve"> Hamilton</w:t>
      </w:r>
      <w:r w:rsidR="00741A16" w:rsidRPr="00C43543">
        <w:rPr>
          <w:szCs w:val="28"/>
          <w14:ligatures w14:val="standardContextual"/>
        </w:rPr>
        <w:t xml:space="preserve">, 193 </w:t>
      </w:r>
      <w:proofErr w:type="spellStart"/>
      <w:r w:rsidR="00741A16" w:rsidRPr="00C43543">
        <w:rPr>
          <w:szCs w:val="28"/>
          <w14:ligatures w14:val="standardContextual"/>
        </w:rPr>
        <w:t>Wn</w:t>
      </w:r>
      <w:proofErr w:type="spellEnd"/>
      <w:r w:rsidR="00741A16" w:rsidRPr="00C43543">
        <w:rPr>
          <w:szCs w:val="28"/>
          <w14:ligatures w14:val="standardContextual"/>
        </w:rPr>
        <w:t>. 2d at 135</w:t>
      </w:r>
      <w:r w:rsidR="003E4F43" w:rsidRPr="00C43543">
        <w:rPr>
          <w:szCs w:val="28"/>
          <w14:ligatures w14:val="standardContextual"/>
        </w:rPr>
        <w:fldChar w:fldCharType="begin"/>
      </w:r>
      <w:r w:rsidR="003E4F43" w:rsidRPr="00C43543">
        <w:rPr>
          <w:szCs w:val="28"/>
          <w14:ligatures w14:val="standardContextual"/>
        </w:rPr>
        <w:instrText xml:space="preserve"> TA \s "Dussault v. Hamilton, 193 Wn.2d 113" </w:instrText>
      </w:r>
      <w:r w:rsidR="003E4F43" w:rsidRPr="00C43543">
        <w:rPr>
          <w:szCs w:val="28"/>
          <w14:ligatures w14:val="standardContextual"/>
        </w:rPr>
        <w:fldChar w:fldCharType="end"/>
      </w:r>
      <w:r w:rsidR="00741A16" w:rsidRPr="00C43543">
        <w:rPr>
          <w:szCs w:val="28"/>
          <w14:ligatures w14:val="standardContextual"/>
        </w:rPr>
        <w:t>. And</w:t>
      </w:r>
      <w:r w:rsidRPr="00C43543">
        <w:rPr>
          <w:szCs w:val="28"/>
          <w14:ligatures w14:val="standardContextual"/>
        </w:rPr>
        <w:t xml:space="preserve"> “[t]he idea that neuropsychologists, as a group, lack the competence necessary to testify on the causation of organic brain injury is the minority view.” </w:t>
      </w:r>
      <w:proofErr w:type="spellStart"/>
      <w:r w:rsidRPr="00C43543">
        <w:rPr>
          <w:i/>
          <w:iCs/>
          <w:szCs w:val="28"/>
          <w14:ligatures w14:val="standardContextual"/>
        </w:rPr>
        <w:t>Huntoon</w:t>
      </w:r>
      <w:proofErr w:type="spellEnd"/>
      <w:r w:rsidRPr="00C43543">
        <w:rPr>
          <w:i/>
          <w:iCs/>
          <w:szCs w:val="28"/>
          <w14:ligatures w14:val="standardContextual"/>
        </w:rPr>
        <w:t xml:space="preserve"> v. TCI Cablevision, Inc.</w:t>
      </w:r>
      <w:r w:rsidRPr="00C43543">
        <w:rPr>
          <w:szCs w:val="28"/>
          <w14:ligatures w14:val="standardContextual"/>
        </w:rPr>
        <w:t>, 969 P.2d 681, 690 (Colo. 1998)</w:t>
      </w:r>
      <w:r w:rsidR="003E4F43" w:rsidRPr="00C43543">
        <w:rPr>
          <w:szCs w:val="28"/>
          <w14:ligatures w14:val="standardContextual"/>
        </w:rPr>
        <w:fldChar w:fldCharType="begin"/>
      </w:r>
      <w:r w:rsidR="003E4F43" w:rsidRPr="00C43543">
        <w:rPr>
          <w:szCs w:val="28"/>
          <w14:ligatures w14:val="standardContextual"/>
        </w:rPr>
        <w:instrText xml:space="preserve"> TA \l "</w:instrText>
      </w:r>
      <w:r w:rsidR="003E4F43" w:rsidRPr="00C43543">
        <w:rPr>
          <w:i/>
          <w:iCs/>
          <w:szCs w:val="28"/>
          <w14:ligatures w14:val="standardContextual"/>
        </w:rPr>
        <w:instrText>Huntoon v. TCI Cablevision, Inc.</w:instrText>
      </w:r>
      <w:r w:rsidR="003E4F43" w:rsidRPr="00C43543">
        <w:rPr>
          <w:szCs w:val="28"/>
          <w14:ligatures w14:val="standardContextual"/>
        </w:rPr>
        <w:instrText>,</w:instrText>
      </w:r>
      <w:r w:rsidR="003E4F43" w:rsidRPr="00C43543">
        <w:rPr>
          <w:szCs w:val="28"/>
          <w14:ligatures w14:val="standardContextual"/>
        </w:rPr>
        <w:br/>
        <w:instrText xml:space="preserve">969 P.2d 681 (Colo. 1998)" \s "Huntoon v. TCI Cablevision, 969 P.2d 681" \c 1 </w:instrText>
      </w:r>
      <w:r w:rsidR="003E4F43" w:rsidRPr="00C43543">
        <w:rPr>
          <w:szCs w:val="28"/>
          <w14:ligatures w14:val="standardContextual"/>
        </w:rPr>
        <w:fldChar w:fldCharType="end"/>
      </w:r>
      <w:r w:rsidRPr="00C43543">
        <w:rPr>
          <w:szCs w:val="28"/>
          <w14:ligatures w14:val="standardContextual"/>
        </w:rPr>
        <w:t xml:space="preserve">. By contrast, “[a] majority of jurisdictions have allowed such testimony.” </w:t>
      </w:r>
      <w:r w:rsidRPr="00C43543">
        <w:rPr>
          <w:i/>
          <w:iCs/>
          <w:szCs w:val="28"/>
          <w14:ligatures w14:val="standardContextual"/>
        </w:rPr>
        <w:t>Bennett v. Richmond</w:t>
      </w:r>
      <w:r w:rsidRPr="00C43543">
        <w:rPr>
          <w:szCs w:val="28"/>
          <w14:ligatures w14:val="standardContextual"/>
        </w:rPr>
        <w:t xml:space="preserve">, </w:t>
      </w:r>
      <w:r w:rsidRPr="00C43543">
        <w:rPr>
          <w:szCs w:val="28"/>
          <w14:ligatures w14:val="standardContextual"/>
        </w:rPr>
        <w:lastRenderedPageBreak/>
        <w:t>960 N.E.2d 782, 785 (Ind. 2012)</w:t>
      </w:r>
      <w:r w:rsidR="003E4F43" w:rsidRPr="00C43543">
        <w:rPr>
          <w:szCs w:val="28"/>
          <w14:ligatures w14:val="standardContextual"/>
        </w:rPr>
        <w:fldChar w:fldCharType="begin"/>
      </w:r>
      <w:r w:rsidR="003E4F43" w:rsidRPr="00C43543">
        <w:rPr>
          <w:szCs w:val="28"/>
          <w14:ligatures w14:val="standardContextual"/>
        </w:rPr>
        <w:instrText xml:space="preserve"> TA \l "</w:instrText>
      </w:r>
      <w:r w:rsidR="003E4F43" w:rsidRPr="00C43543">
        <w:rPr>
          <w:i/>
          <w:iCs/>
          <w:szCs w:val="28"/>
          <w14:ligatures w14:val="standardContextual"/>
        </w:rPr>
        <w:instrText>Bennett v. Richmond</w:instrText>
      </w:r>
      <w:r w:rsidR="003E4F43" w:rsidRPr="00C43543">
        <w:rPr>
          <w:szCs w:val="28"/>
          <w14:ligatures w14:val="standardContextual"/>
        </w:rPr>
        <w:instrText>,</w:instrText>
      </w:r>
      <w:r w:rsidR="003E4F43" w:rsidRPr="00C43543">
        <w:rPr>
          <w:szCs w:val="28"/>
          <w14:ligatures w14:val="standardContextual"/>
        </w:rPr>
        <w:br/>
        <w:instrText xml:space="preserve">960 N.E.2d 782 (Ind. 2012)" \s "Bennett v. Richmond, 960 N.E.2d 782" \c 1 </w:instrText>
      </w:r>
      <w:r w:rsidR="003E4F43" w:rsidRPr="00C43543">
        <w:rPr>
          <w:szCs w:val="28"/>
          <w14:ligatures w14:val="standardContextual"/>
        </w:rPr>
        <w:fldChar w:fldCharType="end"/>
      </w:r>
      <w:r w:rsidRPr="00C43543">
        <w:rPr>
          <w:szCs w:val="28"/>
          <w14:ligatures w14:val="standardContextual"/>
        </w:rPr>
        <w:t xml:space="preserve"> (citing cases). Accordingly, numerous courts have admitted Dr. </w:t>
      </w:r>
      <w:proofErr w:type="spellStart"/>
      <w:r w:rsidRPr="00C43543">
        <w:rPr>
          <w:szCs w:val="28"/>
          <w14:ligatures w14:val="standardContextual"/>
        </w:rPr>
        <w:t>Perrillo’s</w:t>
      </w:r>
      <w:proofErr w:type="spellEnd"/>
      <w:r w:rsidRPr="00C43543">
        <w:rPr>
          <w:szCs w:val="28"/>
          <w14:ligatures w14:val="standardContextual"/>
        </w:rPr>
        <w:t xml:space="preserve"> causation opinions.</w:t>
      </w:r>
      <w:r w:rsidRPr="00C43543">
        <w:rPr>
          <w:rStyle w:val="FootnoteReference"/>
          <w:szCs w:val="28"/>
          <w14:ligatures w14:val="standardContextual"/>
        </w:rPr>
        <w:footnoteReference w:id="23"/>
      </w:r>
      <w:r w:rsidRPr="00C43543">
        <w:rPr>
          <w:szCs w:val="28"/>
          <w14:ligatures w14:val="standardContextual"/>
        </w:rPr>
        <w:t xml:space="preserve"> </w:t>
      </w:r>
    </w:p>
    <w:p w14:paraId="218E580E" w14:textId="46E5EB07" w:rsidR="00123D75" w:rsidRPr="00C43543" w:rsidRDefault="00123D75" w:rsidP="00123D75">
      <w:pPr>
        <w:pStyle w:val="BodyText"/>
        <w:rPr>
          <w:szCs w:val="28"/>
          <w14:ligatures w14:val="standardContextual"/>
        </w:rPr>
      </w:pPr>
      <w:r w:rsidRPr="00C43543">
        <w:rPr>
          <w:szCs w:val="28"/>
          <w14:ligatures w14:val="standardContextual"/>
        </w:rPr>
        <w:t xml:space="preserve">Monsanto’s attack (at 103-05) on the reliability of Dr. </w:t>
      </w:r>
      <w:proofErr w:type="spellStart"/>
      <w:r w:rsidRPr="00C43543">
        <w:rPr>
          <w:szCs w:val="28"/>
          <w14:ligatures w14:val="standardContextual"/>
        </w:rPr>
        <w:t>Perrillo’s</w:t>
      </w:r>
      <w:proofErr w:type="spellEnd"/>
      <w:r w:rsidRPr="00C43543">
        <w:rPr>
          <w:szCs w:val="28"/>
          <w14:ligatures w14:val="standardContextual"/>
        </w:rPr>
        <w:t xml:space="preserve"> methodology is also baseless. The neurological symptoms that the plaintiffs experienced, Dr. </w:t>
      </w:r>
      <w:proofErr w:type="spellStart"/>
      <w:r w:rsidRPr="00C43543">
        <w:rPr>
          <w:szCs w:val="28"/>
          <w14:ligatures w14:val="standardContextual"/>
        </w:rPr>
        <w:t>Perrillo</w:t>
      </w:r>
      <w:proofErr w:type="spellEnd"/>
      <w:r w:rsidRPr="00C43543">
        <w:rPr>
          <w:szCs w:val="28"/>
          <w14:ligatures w14:val="standardContextual"/>
        </w:rPr>
        <w:t xml:space="preserve"> explained, were consistent with the scientific literature </w:t>
      </w:r>
      <w:r w:rsidR="00741A16" w:rsidRPr="00C43543">
        <w:rPr>
          <w:szCs w:val="28"/>
          <w14:ligatures w14:val="standardContextual"/>
        </w:rPr>
        <w:t>f</w:t>
      </w:r>
      <w:r w:rsidRPr="00C43543">
        <w:rPr>
          <w:szCs w:val="28"/>
          <w14:ligatures w14:val="standardContextual"/>
        </w:rPr>
        <w:t xml:space="preserve">inding that chronic exposure to PCBs had significant and harmful neuropsychological effects. P-3727; CP 7317-18; </w:t>
      </w:r>
      <w:r w:rsidRPr="00C43543">
        <w:rPr>
          <w:i/>
          <w:iCs/>
          <w:szCs w:val="28"/>
          <w14:ligatures w14:val="standardContextual"/>
        </w:rPr>
        <w:t>cf. Doe</w:t>
      </w:r>
      <w:r w:rsidRPr="00C43543">
        <w:rPr>
          <w:szCs w:val="28"/>
          <w14:ligatures w14:val="standardContextual"/>
        </w:rPr>
        <w:t>, 245 F. Supp. 3d at 1188</w:t>
      </w:r>
      <w:r w:rsidR="003E4F43" w:rsidRPr="00C43543">
        <w:rPr>
          <w:szCs w:val="28"/>
          <w14:ligatures w14:val="standardContextual"/>
        </w:rPr>
        <w:fldChar w:fldCharType="begin"/>
      </w:r>
      <w:r w:rsidR="003E4F43" w:rsidRPr="00C43543">
        <w:rPr>
          <w:szCs w:val="28"/>
          <w14:ligatures w14:val="standardContextual"/>
        </w:rPr>
        <w:instrText xml:space="preserve"> TA \s "Doe v. Prudential, 245 F. Supp. 3d 1172" </w:instrText>
      </w:r>
      <w:r w:rsidR="003E4F43" w:rsidRPr="00C43543">
        <w:rPr>
          <w:szCs w:val="28"/>
          <w14:ligatures w14:val="standardContextual"/>
        </w:rPr>
        <w:fldChar w:fldCharType="end"/>
      </w:r>
      <w:r w:rsidRPr="00C43543">
        <w:rPr>
          <w:szCs w:val="28"/>
          <w14:ligatures w14:val="standardContextual"/>
        </w:rPr>
        <w:t xml:space="preserve"> (highlighting that “</w:t>
      </w:r>
      <w:proofErr w:type="spellStart"/>
      <w:r w:rsidRPr="00C43543">
        <w:rPr>
          <w:szCs w:val="28"/>
          <w14:ligatures w14:val="standardContextual"/>
        </w:rPr>
        <w:t>Perrillo</w:t>
      </w:r>
      <w:proofErr w:type="spellEnd"/>
      <w:r w:rsidRPr="00C43543">
        <w:rPr>
          <w:szCs w:val="28"/>
          <w14:ligatures w14:val="standardContextual"/>
        </w:rPr>
        <w:t xml:space="preserve"> quoted substantial scholarly literature” establishing a cause of brain damage). And the plaintiffs’ post-exposure cognitive deficits were also consistent with Dr. </w:t>
      </w:r>
      <w:proofErr w:type="spellStart"/>
      <w:r w:rsidRPr="00C43543">
        <w:rPr>
          <w:szCs w:val="28"/>
          <w14:ligatures w14:val="standardContextual"/>
        </w:rPr>
        <w:t>Perrillo’s</w:t>
      </w:r>
      <w:proofErr w:type="spellEnd"/>
      <w:r w:rsidRPr="00C43543">
        <w:rPr>
          <w:szCs w:val="28"/>
          <w14:ligatures w14:val="standardContextual"/>
        </w:rPr>
        <w:t xml:space="preserve"> evaluation of the </w:t>
      </w:r>
      <w:r w:rsidR="00741A16" w:rsidRPr="00C43543">
        <w:rPr>
          <w:szCs w:val="28"/>
          <w14:ligatures w14:val="standardContextual"/>
        </w:rPr>
        <w:t>dozens of</w:t>
      </w:r>
      <w:r w:rsidRPr="00C43543">
        <w:rPr>
          <w:szCs w:val="28"/>
          <w14:ligatures w14:val="standardContextual"/>
        </w:rPr>
        <w:t xml:space="preserve"> other people who had “the same environment in common” with the teachers, and whose symptoms evidenced “the same pattern . . . of acquired brain injury.” Tr. 1123-24; </w:t>
      </w:r>
      <w:r w:rsidRPr="00C43543">
        <w:rPr>
          <w:i/>
          <w:iCs/>
          <w:szCs w:val="28"/>
          <w14:ligatures w14:val="standardContextual"/>
        </w:rPr>
        <w:t>see</w:t>
      </w:r>
      <w:r w:rsidRPr="00C43543">
        <w:rPr>
          <w:szCs w:val="28"/>
          <w14:ligatures w14:val="standardContextual"/>
        </w:rPr>
        <w:t xml:space="preserve"> CP 7242-43. In combination with the evidence ruling out alternative environmental causes, these findings made it highly likely that the plaintiffs (and the other</w:t>
      </w:r>
      <w:r w:rsidR="00EF4959" w:rsidRPr="00C43543">
        <w:rPr>
          <w:szCs w:val="28"/>
          <w14:ligatures w14:val="standardContextual"/>
        </w:rPr>
        <w:t xml:space="preserve"> </w:t>
      </w:r>
      <w:r w:rsidR="00EF4959" w:rsidRPr="00C43543">
        <w:rPr>
          <w:szCs w:val="28"/>
          <w14:ligatures w14:val="standardContextual"/>
        </w:rPr>
        <w:lastRenderedPageBreak/>
        <w:t xml:space="preserve">people Dr. </w:t>
      </w:r>
      <w:proofErr w:type="spellStart"/>
      <w:r w:rsidR="00EF4959" w:rsidRPr="00C43543">
        <w:rPr>
          <w:szCs w:val="28"/>
          <w14:ligatures w14:val="standardContextual"/>
        </w:rPr>
        <w:t>Perrillo</w:t>
      </w:r>
      <w:proofErr w:type="spellEnd"/>
      <w:r w:rsidRPr="00C43543">
        <w:rPr>
          <w:szCs w:val="28"/>
          <w14:ligatures w14:val="standardContextual"/>
        </w:rPr>
        <w:t xml:space="preserve"> tested) all “were exposed to a toxic substance at the school, and that that substance was PCBs.” CP 7242.  </w:t>
      </w:r>
    </w:p>
    <w:p w14:paraId="6CD4D784" w14:textId="31F6979C" w:rsidR="00123D75" w:rsidRPr="00C43543" w:rsidRDefault="00123D75" w:rsidP="00FC3399">
      <w:pPr>
        <w:pStyle w:val="Heading4"/>
        <w:rPr>
          <w:rFonts w:ascii="Adobe Garamond Pro" w:hAnsi="Adobe Garamond Pro"/>
          <w14:ligatures w14:val="standardContextual"/>
        </w:rPr>
      </w:pPr>
      <w:bookmarkStart w:id="73" w:name="_Toc109728357"/>
      <w:r w:rsidRPr="00C43543">
        <w:rPr>
          <w:rFonts w:ascii="Adobe Garamond Pro" w:hAnsi="Adobe Garamond Pro"/>
          <w14:ligatures w14:val="standardContextual"/>
        </w:rPr>
        <w:t xml:space="preserve">Dr. </w:t>
      </w:r>
      <w:proofErr w:type="spellStart"/>
      <w:r w:rsidRPr="00C43543">
        <w:rPr>
          <w:rFonts w:ascii="Adobe Garamond Pro" w:hAnsi="Adobe Garamond Pro"/>
          <w14:ligatures w14:val="standardContextual"/>
        </w:rPr>
        <w:t>Perrillo’s</w:t>
      </w:r>
      <w:proofErr w:type="spellEnd"/>
      <w:r w:rsidRPr="00C43543">
        <w:rPr>
          <w:rFonts w:ascii="Adobe Garamond Pro" w:hAnsi="Adobe Garamond Pro"/>
          <w14:ligatures w14:val="standardContextual"/>
        </w:rPr>
        <w:t xml:space="preserve"> opinions caused no prejudice.</w:t>
      </w:r>
      <w:bookmarkEnd w:id="73"/>
    </w:p>
    <w:p w14:paraId="3C5CD944" w14:textId="20CA8F45" w:rsidR="00123D75" w:rsidRPr="00C43543" w:rsidRDefault="00123D75" w:rsidP="00123D75">
      <w:pPr>
        <w:pStyle w:val="BodyText"/>
        <w:rPr>
          <w:i/>
          <w:szCs w:val="28"/>
          <w14:ligatures w14:val="standardContextual"/>
        </w:rPr>
      </w:pPr>
      <w:r w:rsidRPr="00C43543">
        <w:rPr>
          <w:szCs w:val="28"/>
          <w14:ligatures w14:val="standardContextual"/>
        </w:rPr>
        <w:t xml:space="preserve">Monsanto’s complaints about Dr. </w:t>
      </w:r>
      <w:proofErr w:type="spellStart"/>
      <w:r w:rsidRPr="00C43543">
        <w:rPr>
          <w:szCs w:val="28"/>
          <w14:ligatures w14:val="standardContextual"/>
        </w:rPr>
        <w:t>Perrillo’s</w:t>
      </w:r>
      <w:proofErr w:type="spellEnd"/>
      <w:r w:rsidRPr="00C43543">
        <w:rPr>
          <w:szCs w:val="28"/>
          <w14:ligatures w14:val="standardContextual"/>
        </w:rPr>
        <w:t xml:space="preserve"> opinions fail for another reason: It can’t establish prejudice. “[E]</w:t>
      </w:r>
      <w:proofErr w:type="spellStart"/>
      <w:r w:rsidRPr="00C43543">
        <w:rPr>
          <w:szCs w:val="28"/>
          <w14:ligatures w14:val="standardContextual"/>
        </w:rPr>
        <w:t>rror</w:t>
      </w:r>
      <w:proofErr w:type="spellEnd"/>
      <w:r w:rsidRPr="00C43543">
        <w:rPr>
          <w:szCs w:val="28"/>
          <w14:ligatures w14:val="standardContextual"/>
        </w:rPr>
        <w:t xml:space="preserve"> without prejudice is not grounds for reversal,” and “[e]</w:t>
      </w:r>
      <w:proofErr w:type="spellStart"/>
      <w:r w:rsidRPr="00C43543">
        <w:rPr>
          <w:szCs w:val="28"/>
          <w14:ligatures w14:val="standardContextual"/>
        </w:rPr>
        <w:t>rror</w:t>
      </w:r>
      <w:proofErr w:type="spellEnd"/>
      <w:r w:rsidRPr="00C43543">
        <w:rPr>
          <w:szCs w:val="28"/>
          <w14:ligatures w14:val="standardContextual"/>
        </w:rPr>
        <w:t xml:space="preserve"> will not be considered prejudicial unless it affects, or presumptively affects, the outcome of the trial.</w:t>
      </w:r>
      <w:r w:rsidRPr="00C43543">
        <w:rPr>
          <w:i/>
          <w:szCs w:val="28"/>
          <w14:ligatures w14:val="standardContextual"/>
        </w:rPr>
        <w:t xml:space="preserve">” </w:t>
      </w:r>
      <w:r w:rsidRPr="00C43543">
        <w:rPr>
          <w:i/>
          <w:iCs/>
          <w:szCs w:val="28"/>
          <w14:ligatures w14:val="standardContextual"/>
        </w:rPr>
        <w:t>Brown</w:t>
      </w:r>
      <w:r w:rsidRPr="00C43543">
        <w:rPr>
          <w:szCs w:val="28"/>
          <w14:ligatures w14:val="standardContextual"/>
        </w:rPr>
        <w:t>, 100 Wn.2d at 196</w:t>
      </w:r>
      <w:r w:rsidR="003E4F43" w:rsidRPr="00C43543">
        <w:rPr>
          <w:szCs w:val="28"/>
          <w14:ligatures w14:val="standardContextual"/>
        </w:rPr>
        <w:fldChar w:fldCharType="begin"/>
      </w:r>
      <w:r w:rsidR="003E4F43" w:rsidRPr="00C43543">
        <w:rPr>
          <w:szCs w:val="28"/>
          <w14:ligatures w14:val="standardContextual"/>
        </w:rPr>
        <w:instrText xml:space="preserve"> TA \s "Brown v. Spokane, 100 Wn.2d 188" </w:instrText>
      </w:r>
      <w:r w:rsidR="003E4F43" w:rsidRPr="00C43543">
        <w:rPr>
          <w:szCs w:val="28"/>
          <w14:ligatures w14:val="standardContextual"/>
        </w:rPr>
        <w:fldChar w:fldCharType="end"/>
      </w:r>
      <w:r w:rsidRPr="00C43543">
        <w:rPr>
          <w:szCs w:val="28"/>
          <w14:ligatures w14:val="standardContextual"/>
        </w:rPr>
        <w:t>.</w:t>
      </w:r>
      <w:r w:rsidRPr="00C43543">
        <w:rPr>
          <w:i/>
          <w:szCs w:val="28"/>
          <w14:ligatures w14:val="standardContextual"/>
        </w:rPr>
        <w:t xml:space="preserve"> </w:t>
      </w:r>
      <w:r w:rsidRPr="00C43543">
        <w:rPr>
          <w:iCs/>
          <w:szCs w:val="28"/>
          <w14:ligatures w14:val="standardContextual"/>
        </w:rPr>
        <w:t xml:space="preserve">Yet, on appeal, Monsanto doesn’t even </w:t>
      </w:r>
      <w:r w:rsidRPr="00C43543">
        <w:rPr>
          <w:i/>
          <w:szCs w:val="28"/>
          <w14:ligatures w14:val="standardContextual"/>
        </w:rPr>
        <w:t>try</w:t>
      </w:r>
      <w:r w:rsidRPr="00C43543">
        <w:rPr>
          <w:iCs/>
          <w:szCs w:val="28"/>
          <w14:ligatures w14:val="standardContextual"/>
        </w:rPr>
        <w:t xml:space="preserve"> to demonstrate that it was prejudiced by the admission of Dr. </w:t>
      </w:r>
      <w:proofErr w:type="spellStart"/>
      <w:r w:rsidRPr="00C43543">
        <w:rPr>
          <w:iCs/>
          <w:szCs w:val="28"/>
          <w14:ligatures w14:val="standardContextual"/>
        </w:rPr>
        <w:t>Perrillo’s</w:t>
      </w:r>
      <w:proofErr w:type="spellEnd"/>
      <w:r w:rsidRPr="00C43543">
        <w:rPr>
          <w:iCs/>
          <w:szCs w:val="28"/>
          <w14:ligatures w14:val="standardContextual"/>
        </w:rPr>
        <w:t xml:space="preserve"> opinions. </w:t>
      </w:r>
      <w:r w:rsidRPr="00C43543">
        <w:rPr>
          <w:i/>
          <w:szCs w:val="28"/>
          <w14:ligatures w14:val="standardContextual"/>
        </w:rPr>
        <w:t>See</w:t>
      </w:r>
      <w:r w:rsidRPr="00C43543">
        <w:rPr>
          <w:iCs/>
          <w:szCs w:val="28"/>
          <w14:ligatures w14:val="standardContextual"/>
        </w:rPr>
        <w:t xml:space="preserve"> Br. 105-20. It cannot. </w:t>
      </w:r>
    </w:p>
    <w:p w14:paraId="03C075F6" w14:textId="1B72F22E" w:rsidR="00741A16" w:rsidRPr="00C43543" w:rsidRDefault="00741A16" w:rsidP="00741A16">
      <w:pPr>
        <w:pStyle w:val="BodyText"/>
        <w:rPr>
          <w:iCs/>
          <w:szCs w:val="28"/>
          <w14:ligatures w14:val="standardContextual"/>
        </w:rPr>
      </w:pPr>
      <w:r w:rsidRPr="00C43543">
        <w:rPr>
          <w:iCs/>
          <w:szCs w:val="28"/>
          <w14:ligatures w14:val="standardContextual"/>
        </w:rPr>
        <w:t xml:space="preserve">Proof of injury was overwhelming. To start, Monsanto conceded to the jury, “we are not challenging that the symptoms, complaints, these teachers are experiencing are real.” Tr. 4776; </w:t>
      </w:r>
      <w:r w:rsidRPr="00C43543">
        <w:rPr>
          <w:i/>
          <w:szCs w:val="28"/>
          <w14:ligatures w14:val="standardContextual"/>
        </w:rPr>
        <w:t xml:space="preserve">see </w:t>
      </w:r>
      <w:r w:rsidRPr="00C43543">
        <w:rPr>
          <w:iCs/>
          <w:szCs w:val="28"/>
          <w14:ligatures w14:val="standardContextual"/>
        </w:rPr>
        <w:t xml:space="preserve">Tr. 4737, 4740. That alone defeats prejudice. Further, Dr. Dahlgren testified, based on his interviews with the plaintiffs and an extensive review of their medical records, that </w:t>
      </w:r>
      <w:proofErr w:type="gramStart"/>
      <w:r w:rsidRPr="00C43543">
        <w:rPr>
          <w:iCs/>
          <w:szCs w:val="28"/>
          <w14:ligatures w14:val="standardContextual"/>
        </w:rPr>
        <w:t>all of</w:t>
      </w:r>
      <w:proofErr w:type="gramEnd"/>
      <w:r w:rsidRPr="00C43543">
        <w:rPr>
          <w:iCs/>
          <w:szCs w:val="28"/>
          <w14:ligatures w14:val="standardContextual"/>
        </w:rPr>
        <w:t xml:space="preserve"> the plaintiffs suffered “brain damage</w:t>
      </w:r>
      <w:r w:rsidR="00764DF8" w:rsidRPr="00C43543">
        <w:rPr>
          <w:iCs/>
          <w:szCs w:val="28"/>
          <w14:ligatures w14:val="standardContextual"/>
        </w:rPr>
        <w:t>.”</w:t>
      </w:r>
      <w:r w:rsidRPr="00C43543">
        <w:rPr>
          <w:iCs/>
          <w:szCs w:val="28"/>
          <w14:ligatures w14:val="standardContextual"/>
        </w:rPr>
        <w:t xml:space="preserve"> Tr. 2247-48; </w:t>
      </w:r>
      <w:r w:rsidRPr="00C43543">
        <w:rPr>
          <w:i/>
          <w:szCs w:val="28"/>
          <w14:ligatures w14:val="standardContextual"/>
        </w:rPr>
        <w:t>see also</w:t>
      </w:r>
      <w:r w:rsidRPr="00C43543">
        <w:rPr>
          <w:iCs/>
          <w:szCs w:val="28"/>
          <w14:ligatures w14:val="standardContextual"/>
        </w:rPr>
        <w:t xml:space="preserve"> Tr. 2258, 2345. Testimony from the plaintiffs—as well as their family, friends, and colleagues—further supplied evidence of harm</w:t>
      </w:r>
      <w:r w:rsidR="00DA7E08" w:rsidRPr="00C43543">
        <w:rPr>
          <w:iCs/>
          <w:szCs w:val="28"/>
          <w14:ligatures w14:val="standardContextual"/>
        </w:rPr>
        <w:t>.</w:t>
      </w:r>
      <w:r w:rsidRPr="00C43543">
        <w:rPr>
          <w:iCs/>
          <w:szCs w:val="28"/>
          <w14:ligatures w14:val="standardContextual"/>
        </w:rPr>
        <w:t xml:space="preserve"> </w:t>
      </w:r>
    </w:p>
    <w:p w14:paraId="3503B596" w14:textId="7D764E98" w:rsidR="00123D75" w:rsidRPr="00C43543" w:rsidRDefault="00123D75" w:rsidP="00123D75">
      <w:pPr>
        <w:pStyle w:val="BodyText"/>
        <w:rPr>
          <w:szCs w:val="28"/>
          <w14:ligatures w14:val="standardContextual"/>
        </w:rPr>
      </w:pPr>
      <w:r w:rsidRPr="00C43543">
        <w:rPr>
          <w:szCs w:val="28"/>
          <w14:ligatures w14:val="standardContextual"/>
        </w:rPr>
        <w:lastRenderedPageBreak/>
        <w:t xml:space="preserve">The lack of prejudice is </w:t>
      </w:r>
      <w:r w:rsidR="00741A16" w:rsidRPr="00C43543">
        <w:rPr>
          <w:szCs w:val="28"/>
          <w14:ligatures w14:val="standardContextual"/>
        </w:rPr>
        <w:t>equally</w:t>
      </w:r>
      <w:r w:rsidRPr="00C43543">
        <w:rPr>
          <w:szCs w:val="28"/>
          <w14:ligatures w14:val="standardContextual"/>
        </w:rPr>
        <w:t xml:space="preserve"> apparent </w:t>
      </w:r>
      <w:r w:rsidR="00741A16" w:rsidRPr="00C43543">
        <w:rPr>
          <w:szCs w:val="28"/>
          <w14:ligatures w14:val="standardContextual"/>
        </w:rPr>
        <w:t>as</w:t>
      </w:r>
      <w:r w:rsidRPr="00C43543">
        <w:rPr>
          <w:szCs w:val="28"/>
          <w14:ligatures w14:val="standardContextual"/>
        </w:rPr>
        <w:t xml:space="preserve"> to Dr. </w:t>
      </w:r>
      <w:proofErr w:type="spellStart"/>
      <w:r w:rsidRPr="00C43543">
        <w:rPr>
          <w:szCs w:val="28"/>
          <w14:ligatures w14:val="standardContextual"/>
        </w:rPr>
        <w:t>Perrillo’s</w:t>
      </w:r>
      <w:proofErr w:type="spellEnd"/>
      <w:r w:rsidRPr="00C43543">
        <w:rPr>
          <w:szCs w:val="28"/>
          <w14:ligatures w14:val="standardContextual"/>
        </w:rPr>
        <w:t xml:space="preserve"> causation opinions. Several other experts </w:t>
      </w:r>
      <w:r w:rsidR="00DA7E08" w:rsidRPr="00C43543">
        <w:rPr>
          <w:szCs w:val="28"/>
          <w14:ligatures w14:val="standardContextual"/>
        </w:rPr>
        <w:t>whom</w:t>
      </w:r>
      <w:r w:rsidRPr="00C43543">
        <w:rPr>
          <w:szCs w:val="28"/>
          <w14:ligatures w14:val="standardContextual"/>
        </w:rPr>
        <w:t xml:space="preserve"> Monsanto does</w:t>
      </w:r>
      <w:r w:rsidR="00DA7E08" w:rsidRPr="00C43543">
        <w:rPr>
          <w:szCs w:val="28"/>
          <w14:ligatures w14:val="standardContextual"/>
        </w:rPr>
        <w:t>n’</w:t>
      </w:r>
      <w:r w:rsidRPr="00C43543">
        <w:rPr>
          <w:szCs w:val="28"/>
          <w14:ligatures w14:val="standardContextual"/>
        </w:rPr>
        <w:t xml:space="preserve">t challenge at all on appeal—including Dr. Richard </w:t>
      </w:r>
      <w:proofErr w:type="spellStart"/>
      <w:r w:rsidRPr="00C43543">
        <w:rPr>
          <w:szCs w:val="28"/>
          <w14:ligatures w14:val="standardContextual"/>
        </w:rPr>
        <w:t>DeGrandchamp</w:t>
      </w:r>
      <w:proofErr w:type="spellEnd"/>
      <w:r w:rsidRPr="00C43543">
        <w:rPr>
          <w:szCs w:val="28"/>
          <w14:ligatures w14:val="standardContextual"/>
        </w:rPr>
        <w:t xml:space="preserve"> and Dr. David Carpenter, one of the world’s leading experts on PCB toxicology—testified extensively about PCBs’ neurotoxicity and the mechanisms by which PCBs seriously damage the brain. Tr. 1496-97, 1503, 2140-44, 2149-50, 2458. And Dr. Dahlgren specifically testified that the plaintiffs’ brain damage was caused by systemic poisoning </w:t>
      </w:r>
      <w:proofErr w:type="gramStart"/>
      <w:r w:rsidRPr="00C43543">
        <w:rPr>
          <w:szCs w:val="28"/>
          <w14:ligatures w14:val="standardContextual"/>
        </w:rPr>
        <w:t>as a result of</w:t>
      </w:r>
      <w:proofErr w:type="gramEnd"/>
      <w:r w:rsidRPr="00C43543">
        <w:rPr>
          <w:szCs w:val="28"/>
          <w14:ligatures w14:val="standardContextual"/>
        </w:rPr>
        <w:t xml:space="preserve"> inhaling PCB</w:t>
      </w:r>
      <w:r w:rsidR="00EF4959" w:rsidRPr="00C43543">
        <w:rPr>
          <w:szCs w:val="28"/>
          <w14:ligatures w14:val="standardContextual"/>
        </w:rPr>
        <w:t>s</w:t>
      </w:r>
      <w:r w:rsidRPr="00C43543">
        <w:rPr>
          <w:szCs w:val="28"/>
          <w14:ligatures w14:val="standardContextual"/>
        </w:rPr>
        <w:t xml:space="preserve"> and furans. Tr. 2246-47, 2251-52, 2263. </w:t>
      </w:r>
    </w:p>
    <w:p w14:paraId="1AAEE71E" w14:textId="5D45468F" w:rsidR="005C1460" w:rsidRPr="00C43543" w:rsidRDefault="00123D75" w:rsidP="00123D75">
      <w:pPr>
        <w:pStyle w:val="BodyText"/>
        <w:rPr>
          <w:szCs w:val="28"/>
          <w14:ligatures w14:val="standardContextual"/>
        </w:rPr>
      </w:pPr>
      <w:proofErr w:type="gramStart"/>
      <w:r w:rsidRPr="00C43543">
        <w:rPr>
          <w:szCs w:val="28"/>
          <w14:ligatures w14:val="standardContextual"/>
        </w:rPr>
        <w:t>All of</w:t>
      </w:r>
      <w:proofErr w:type="gramEnd"/>
      <w:r w:rsidRPr="00C43543">
        <w:rPr>
          <w:szCs w:val="28"/>
          <w14:ligatures w14:val="standardContextual"/>
        </w:rPr>
        <w:t xml:space="preserve"> that expert testimony, coupled with significant evidence ruling out other environmental causes, overwhelmingly supports the jury’s finding that PCB exposure caused the plaintiffs’ injuries—even without Dr. </w:t>
      </w:r>
      <w:proofErr w:type="spellStart"/>
      <w:r w:rsidRPr="00C43543">
        <w:rPr>
          <w:szCs w:val="28"/>
          <w14:ligatures w14:val="standardContextual"/>
        </w:rPr>
        <w:t>Perrillo’s</w:t>
      </w:r>
      <w:proofErr w:type="spellEnd"/>
      <w:r w:rsidRPr="00C43543">
        <w:rPr>
          <w:szCs w:val="28"/>
          <w14:ligatures w14:val="standardContextual"/>
        </w:rPr>
        <w:t xml:space="preserve"> causation opinions. </w:t>
      </w:r>
      <w:r w:rsidRPr="00C43543">
        <w:rPr>
          <w:i/>
          <w:iCs/>
          <w:szCs w:val="28"/>
          <w14:ligatures w14:val="standardContextual"/>
        </w:rPr>
        <w:t xml:space="preserve">See </w:t>
      </w:r>
      <w:proofErr w:type="spellStart"/>
      <w:r w:rsidRPr="00C43543">
        <w:rPr>
          <w:i/>
          <w:iCs/>
          <w:szCs w:val="28"/>
          <w14:ligatures w14:val="standardContextual"/>
        </w:rPr>
        <w:t>Barriga</w:t>
      </w:r>
      <w:proofErr w:type="spellEnd"/>
      <w:r w:rsidRPr="00C43543">
        <w:rPr>
          <w:i/>
          <w:iCs/>
          <w:szCs w:val="28"/>
          <w14:ligatures w14:val="standardContextual"/>
        </w:rPr>
        <w:t xml:space="preserve"> Figueroa v. Prieto Mariscal</w:t>
      </w:r>
      <w:r w:rsidRPr="00C43543">
        <w:rPr>
          <w:szCs w:val="28"/>
          <w14:ligatures w14:val="standardContextual"/>
        </w:rPr>
        <w:t>, 193 Wn.2d 404, 415, 441 P.3d 818 (2019)</w:t>
      </w:r>
      <w:r w:rsidR="004B0484" w:rsidRPr="00C43543">
        <w:rPr>
          <w:szCs w:val="28"/>
          <w14:ligatures w14:val="standardContextual"/>
        </w:rPr>
        <w:fldChar w:fldCharType="begin"/>
      </w:r>
      <w:r w:rsidR="004B0484" w:rsidRPr="00C43543">
        <w:rPr>
          <w:szCs w:val="28"/>
          <w14:ligatures w14:val="standardContextual"/>
        </w:rPr>
        <w:instrText xml:space="preserve"> TA \l "</w:instrText>
      </w:r>
      <w:r w:rsidR="004B0484" w:rsidRPr="00C43543">
        <w:rPr>
          <w:i/>
          <w:iCs/>
          <w:szCs w:val="28"/>
          <w14:ligatures w14:val="standardContextual"/>
        </w:rPr>
        <w:instrText>Barriga Figueroa v. Prieto Mariscal</w:instrText>
      </w:r>
      <w:r w:rsidR="004B0484" w:rsidRPr="00C43543">
        <w:rPr>
          <w:szCs w:val="28"/>
          <w14:ligatures w14:val="standardContextual"/>
        </w:rPr>
        <w:instrText>,</w:instrText>
      </w:r>
      <w:r w:rsidR="004B0484" w:rsidRPr="00C43543">
        <w:rPr>
          <w:szCs w:val="28"/>
          <w14:ligatures w14:val="standardContextual"/>
        </w:rPr>
        <w:br/>
        <w:instrText xml:space="preserve">193 Wn.2d 404, 441 P.3d 818 (2019)" \s "Figueroa v. Mariscal, 193 Wn.2d 404" \c 1 </w:instrText>
      </w:r>
      <w:r w:rsidR="004B0484" w:rsidRPr="00C43543">
        <w:rPr>
          <w:szCs w:val="28"/>
          <w14:ligatures w14:val="standardContextual"/>
        </w:rPr>
        <w:fldChar w:fldCharType="end"/>
      </w:r>
      <w:r w:rsidRPr="00C43543">
        <w:rPr>
          <w:szCs w:val="28"/>
          <w14:ligatures w14:val="standardContextual"/>
        </w:rPr>
        <w:t xml:space="preserve"> (“Improper admission of evidence constitutes harmless error if the evidence is cumulative.”). </w:t>
      </w:r>
    </w:p>
    <w:p w14:paraId="583079D6" w14:textId="2BBE95F8" w:rsidR="005C1460" w:rsidRPr="00C43543" w:rsidRDefault="005C1460" w:rsidP="00FC3399">
      <w:pPr>
        <w:pStyle w:val="Heading2"/>
        <w:rPr>
          <w:rFonts w:ascii="Adobe Garamond Pro" w:hAnsi="Adobe Garamond Pro"/>
          <w14:ligatures w14:val="standardContextual"/>
        </w:rPr>
      </w:pPr>
      <w:bookmarkStart w:id="74" w:name="_Toc109728358"/>
      <w:r w:rsidRPr="00C43543">
        <w:rPr>
          <w:rFonts w:ascii="Adobe Garamond Pro" w:hAnsi="Adobe Garamond Pro"/>
          <w14:ligatures w14:val="standardContextual"/>
        </w:rPr>
        <w:lastRenderedPageBreak/>
        <w:t>This Court should reject Monsanto’s attempt to relitigate the jury’s verdict, which was firmly supported by substantial evidence.</w:t>
      </w:r>
      <w:bookmarkEnd w:id="74"/>
    </w:p>
    <w:p w14:paraId="23A52D5D" w14:textId="3EB2225E" w:rsidR="004362B3" w:rsidRPr="00C43543" w:rsidRDefault="004362B3" w:rsidP="004362B3">
      <w:pPr>
        <w:pStyle w:val="BodyText"/>
        <w:rPr>
          <w:szCs w:val="28"/>
          <w14:ligatures w14:val="standardContextual"/>
        </w:rPr>
      </w:pPr>
      <w:r w:rsidRPr="00C43543">
        <w:rPr>
          <w:szCs w:val="28"/>
          <w14:ligatures w14:val="standardContextual"/>
        </w:rPr>
        <w:t xml:space="preserve">The jury heard hundreds of hours of testimony from 46 witnesses and saw thousands of pages of exhibits. Based on this evidence, the jury ruled for the plaintiffs on </w:t>
      </w:r>
      <w:proofErr w:type="gramStart"/>
      <w:r w:rsidRPr="00C43543">
        <w:rPr>
          <w:szCs w:val="28"/>
          <w14:ligatures w14:val="standardContextual"/>
        </w:rPr>
        <w:t>all of</w:t>
      </w:r>
      <w:proofErr w:type="gramEnd"/>
      <w:r w:rsidRPr="00C43543">
        <w:rPr>
          <w:szCs w:val="28"/>
          <w14:ligatures w14:val="standardContextual"/>
        </w:rPr>
        <w:t xml:space="preserve"> their claims, finding that the teachers had been exposed to hazardous levels of PCBs and furans while teaching at Sky Valley, and that this exposure caused their brain injuries and other health issues. </w:t>
      </w:r>
    </w:p>
    <w:p w14:paraId="12CA154A" w14:textId="77777777" w:rsidR="004362B3" w:rsidRPr="00C43543" w:rsidRDefault="004362B3" w:rsidP="004362B3">
      <w:pPr>
        <w:pStyle w:val="BodyText"/>
        <w:rPr>
          <w:szCs w:val="28"/>
          <w14:ligatures w14:val="standardContextual"/>
        </w:rPr>
      </w:pPr>
      <w:r w:rsidRPr="00C43543">
        <w:rPr>
          <w:szCs w:val="28"/>
          <w14:ligatures w14:val="standardContextual"/>
        </w:rPr>
        <w:t xml:space="preserve">Monsanto argues on appeal that this verdict should be set aside for lack of evidence. Br. 132-59. But the evidence presented at trial more than withstands Washington’s exceedingly deferential standard for reviewing a jury verdict. Monsanto asks this Court to disregard this evidence and to resolve the factual conflicts in </w:t>
      </w:r>
      <w:r w:rsidRPr="00C43543">
        <w:rPr>
          <w:i/>
          <w:iCs/>
          <w:szCs w:val="28"/>
          <w14:ligatures w14:val="standardContextual"/>
        </w:rPr>
        <w:t>its</w:t>
      </w:r>
      <w:r w:rsidRPr="00C43543">
        <w:rPr>
          <w:szCs w:val="28"/>
          <w14:ligatures w14:val="standardContextual"/>
        </w:rPr>
        <w:t xml:space="preserve"> favor—to improperly assume the jury’s sacrosanct role in Washington’s constitutional system. That it cannot do. This Court should affirm the jury’s verdict.</w:t>
      </w:r>
    </w:p>
    <w:p w14:paraId="6D9F7CD0" w14:textId="77777777" w:rsidR="004362B3" w:rsidRPr="00C43543" w:rsidRDefault="004362B3" w:rsidP="00FC3399">
      <w:pPr>
        <w:pStyle w:val="Heading3"/>
        <w:rPr>
          <w:rFonts w:ascii="Adobe Garamond Pro" w:hAnsi="Adobe Garamond Pro"/>
          <w14:ligatures w14:val="standardContextual"/>
        </w:rPr>
      </w:pPr>
      <w:bookmarkStart w:id="75" w:name="_Toc109728359"/>
      <w:r w:rsidRPr="00C43543">
        <w:rPr>
          <w:rFonts w:ascii="Adobe Garamond Pro" w:hAnsi="Adobe Garamond Pro"/>
          <w14:ligatures w14:val="standardContextual"/>
        </w:rPr>
        <w:t>The standard of review for sufficiency of the evidence for a jury verdict is extremely deferential.</w:t>
      </w:r>
      <w:bookmarkEnd w:id="75"/>
      <w:r w:rsidRPr="00C43543">
        <w:rPr>
          <w:rFonts w:ascii="Adobe Garamond Pro" w:hAnsi="Adobe Garamond Pro"/>
          <w14:ligatures w14:val="standardContextual"/>
        </w:rPr>
        <w:t xml:space="preserve"> </w:t>
      </w:r>
    </w:p>
    <w:p w14:paraId="1A843BF7" w14:textId="0D248F54" w:rsidR="004362B3" w:rsidRPr="00C43543" w:rsidRDefault="004362B3" w:rsidP="004362B3">
      <w:pPr>
        <w:pStyle w:val="BodyText"/>
        <w:rPr>
          <w:szCs w:val="28"/>
          <w14:ligatures w14:val="standardContextual"/>
        </w:rPr>
      </w:pPr>
      <w:r w:rsidRPr="00C43543">
        <w:rPr>
          <w:szCs w:val="28"/>
          <w14:ligatures w14:val="standardContextual"/>
        </w:rPr>
        <w:t xml:space="preserve">Washington’s constitution grants juries the “ultimate power” to weigh evidence and determine facts. </w:t>
      </w:r>
      <w:r w:rsidRPr="00C43543">
        <w:rPr>
          <w:i/>
          <w:iCs/>
          <w:szCs w:val="28"/>
          <w14:ligatures w14:val="standardContextual"/>
        </w:rPr>
        <w:t>Coogan v. Borg-Warner Morse Tec Inc.</w:t>
      </w:r>
      <w:r w:rsidRPr="00C43543">
        <w:rPr>
          <w:szCs w:val="28"/>
          <w14:ligatures w14:val="standardContextual"/>
        </w:rPr>
        <w:t>, 197 Wn.2d 790, 812, 490 P.3d 200 (2021)</w:t>
      </w:r>
      <w:r w:rsidR="004E7245" w:rsidRPr="00C43543">
        <w:rPr>
          <w:szCs w:val="28"/>
          <w14:ligatures w14:val="standardContextual"/>
        </w:rPr>
        <w:fldChar w:fldCharType="begin"/>
      </w:r>
      <w:r w:rsidR="004E7245" w:rsidRPr="00C43543">
        <w:rPr>
          <w:szCs w:val="28"/>
          <w14:ligatures w14:val="standardContextual"/>
        </w:rPr>
        <w:instrText xml:space="preserve"> TA \l "</w:instrText>
      </w:r>
      <w:r w:rsidR="004E7245" w:rsidRPr="00C43543">
        <w:rPr>
          <w:i/>
          <w:iCs/>
          <w:szCs w:val="28"/>
          <w14:ligatures w14:val="standardContextual"/>
        </w:rPr>
        <w:instrText>Coogan v. Borg-Warner Morse Tec Inc.</w:instrText>
      </w:r>
      <w:r w:rsidR="004E7245" w:rsidRPr="00C43543">
        <w:rPr>
          <w:szCs w:val="28"/>
          <w14:ligatures w14:val="standardContextual"/>
        </w:rPr>
        <w:instrText>,</w:instrText>
      </w:r>
      <w:r w:rsidR="004E7245" w:rsidRPr="00C43543">
        <w:rPr>
          <w:szCs w:val="28"/>
          <w14:ligatures w14:val="standardContextual"/>
        </w:rPr>
        <w:br/>
        <w:instrText xml:space="preserve">197 Wn. 2d 790, 490 P.3d 200 (2021)" \s "Coogan v. Borg., 197 Wn. 2d 790" \c 1 </w:instrText>
      </w:r>
      <w:r w:rsidR="004E7245" w:rsidRPr="00C43543">
        <w:rPr>
          <w:szCs w:val="28"/>
          <w14:ligatures w14:val="standardContextual"/>
        </w:rPr>
        <w:fldChar w:fldCharType="end"/>
      </w:r>
      <w:r w:rsidRPr="00C43543">
        <w:rPr>
          <w:szCs w:val="28"/>
          <w14:ligatures w14:val="standardContextual"/>
        </w:rPr>
        <w:t xml:space="preserve">. The </w:t>
      </w:r>
      <w:r w:rsidRPr="00C43543">
        <w:rPr>
          <w:szCs w:val="28"/>
          <w14:ligatures w14:val="standardContextual"/>
        </w:rPr>
        <w:lastRenderedPageBreak/>
        <w:t xml:space="preserve">credibility of witnesses and weight given to evidence are “within the province of the jury”; “even if convinced that a wrong verdict has been rendered, the reviewing court will not substitute its judgment for that of the jury, so long as there was evidence which, if believed, would support the verdict rendered.” </w:t>
      </w:r>
      <w:r w:rsidRPr="00C43543">
        <w:rPr>
          <w:i/>
          <w:iCs/>
          <w:szCs w:val="28"/>
          <w14:ligatures w14:val="standardContextual"/>
        </w:rPr>
        <w:t>Burnside v. Simpson Paper Co.</w:t>
      </w:r>
      <w:r w:rsidRPr="00C43543">
        <w:rPr>
          <w:szCs w:val="28"/>
          <w14:ligatures w14:val="standardContextual"/>
        </w:rPr>
        <w:t>, 123 Wn.2d 93, 107-08, 864 P.2d 937 (1994)</w:t>
      </w:r>
      <w:r w:rsidR="004E7245" w:rsidRPr="00C43543">
        <w:rPr>
          <w:szCs w:val="28"/>
          <w14:ligatures w14:val="standardContextual"/>
        </w:rPr>
        <w:fldChar w:fldCharType="begin"/>
      </w:r>
      <w:r w:rsidR="004E7245" w:rsidRPr="00C43543">
        <w:rPr>
          <w:szCs w:val="28"/>
          <w14:ligatures w14:val="standardContextual"/>
        </w:rPr>
        <w:instrText xml:space="preserve"> TA \l "</w:instrText>
      </w:r>
      <w:r w:rsidR="004E7245" w:rsidRPr="00C43543">
        <w:rPr>
          <w:i/>
          <w:iCs/>
          <w:szCs w:val="28"/>
          <w14:ligatures w14:val="standardContextual"/>
        </w:rPr>
        <w:instrText>Burnside v. Simpson Paper Co.</w:instrText>
      </w:r>
      <w:r w:rsidR="004E7245" w:rsidRPr="00C43543">
        <w:rPr>
          <w:szCs w:val="28"/>
          <w14:ligatures w14:val="standardContextual"/>
        </w:rPr>
        <w:instrText>,</w:instrText>
      </w:r>
      <w:r w:rsidR="004E7245" w:rsidRPr="00C43543">
        <w:rPr>
          <w:szCs w:val="28"/>
          <w14:ligatures w14:val="standardContextual"/>
        </w:rPr>
        <w:br/>
        <w:instrText xml:space="preserve">123 Wn. 2d 93, 864 P.2d 937 (1994)" \s "Burnside v. Simpson, 123 Wn. 2d 93" \c 1 </w:instrText>
      </w:r>
      <w:r w:rsidR="004E7245" w:rsidRPr="00C43543">
        <w:rPr>
          <w:szCs w:val="28"/>
          <w14:ligatures w14:val="standardContextual"/>
        </w:rPr>
        <w:fldChar w:fldCharType="end"/>
      </w:r>
      <w:r w:rsidRPr="00C43543">
        <w:rPr>
          <w:szCs w:val="28"/>
          <w14:ligatures w14:val="standardContextual"/>
        </w:rPr>
        <w:t xml:space="preserve">. </w:t>
      </w:r>
    </w:p>
    <w:p w14:paraId="5DFD24B5" w14:textId="35D89E6D" w:rsidR="004362B3" w:rsidRPr="00C43543" w:rsidRDefault="004362B3" w:rsidP="004362B3">
      <w:pPr>
        <w:pStyle w:val="BodyText"/>
        <w:rPr>
          <w:szCs w:val="28"/>
          <w14:ligatures w14:val="standardContextual"/>
        </w:rPr>
      </w:pPr>
      <w:r w:rsidRPr="00C43543">
        <w:rPr>
          <w:szCs w:val="28"/>
          <w14:ligatures w14:val="standardContextual"/>
        </w:rPr>
        <w:t xml:space="preserve">An appellate court may overturn a jury verdict only when it is “clearly unsupported by substantial evidence.” </w:t>
      </w:r>
      <w:r w:rsidRPr="00C43543">
        <w:rPr>
          <w:i/>
          <w:iCs/>
          <w:szCs w:val="28"/>
          <w14:ligatures w14:val="standardContextual"/>
        </w:rPr>
        <w:t>Faust v. Albertson</w:t>
      </w:r>
      <w:r w:rsidRPr="00C43543">
        <w:rPr>
          <w:szCs w:val="28"/>
          <w14:ligatures w14:val="standardContextual"/>
        </w:rPr>
        <w:t>, 167 Wn.2d 531, 538, 222 P.3d 1208 (2009)</w:t>
      </w:r>
      <w:r w:rsidR="004E7245" w:rsidRPr="00C43543">
        <w:rPr>
          <w:szCs w:val="28"/>
          <w14:ligatures w14:val="standardContextual"/>
        </w:rPr>
        <w:fldChar w:fldCharType="begin"/>
      </w:r>
      <w:r w:rsidR="004E7245" w:rsidRPr="00C43543">
        <w:rPr>
          <w:szCs w:val="28"/>
          <w14:ligatures w14:val="standardContextual"/>
        </w:rPr>
        <w:instrText xml:space="preserve"> TA \l "</w:instrText>
      </w:r>
      <w:r w:rsidR="004E7245" w:rsidRPr="00C43543">
        <w:rPr>
          <w:i/>
          <w:iCs/>
          <w:szCs w:val="28"/>
          <w14:ligatures w14:val="standardContextual"/>
        </w:rPr>
        <w:instrText>Faust v. Albertson</w:instrText>
      </w:r>
      <w:r w:rsidR="004E7245" w:rsidRPr="00C43543">
        <w:rPr>
          <w:szCs w:val="28"/>
          <w14:ligatures w14:val="standardContextual"/>
        </w:rPr>
        <w:instrText>,</w:instrText>
      </w:r>
      <w:r w:rsidR="004E7245" w:rsidRPr="00C43543">
        <w:rPr>
          <w:szCs w:val="28"/>
          <w14:ligatures w14:val="standardContextual"/>
        </w:rPr>
        <w:br/>
        <w:instrText xml:space="preserve">167 Wn. 2d 531, 222 P.3d 1208 (2009)" \s "Faust v. Albertson, 167 Wn. 2d 531" \c 1 </w:instrText>
      </w:r>
      <w:r w:rsidR="004E7245" w:rsidRPr="00C43543">
        <w:rPr>
          <w:szCs w:val="28"/>
          <w14:ligatures w14:val="standardContextual"/>
        </w:rPr>
        <w:fldChar w:fldCharType="end"/>
      </w:r>
      <w:r w:rsidRPr="00C43543">
        <w:rPr>
          <w:szCs w:val="28"/>
          <w14:ligatures w14:val="standardContextual"/>
        </w:rPr>
        <w:t xml:space="preserve">. And “the test for substantial evidence is modest”: Evidence is “sufficient if it would convince an unprejudiced thinking mind of the truth of the fact to which the evidence is directed.” </w:t>
      </w:r>
      <w:r w:rsidRPr="00C43543">
        <w:rPr>
          <w:i/>
          <w:iCs/>
          <w:szCs w:val="28"/>
          <w14:ligatures w14:val="standardContextual"/>
        </w:rPr>
        <w:t xml:space="preserve">Nw. Pipeline Corp. v. Adams </w:t>
      </w:r>
      <w:proofErr w:type="spellStart"/>
      <w:r w:rsidRPr="00C43543">
        <w:rPr>
          <w:i/>
          <w:iCs/>
          <w:szCs w:val="28"/>
          <w14:ligatures w14:val="standardContextual"/>
        </w:rPr>
        <w:t>Cnty</w:t>
      </w:r>
      <w:proofErr w:type="spellEnd"/>
      <w:r w:rsidRPr="00C43543">
        <w:rPr>
          <w:szCs w:val="28"/>
          <w14:ligatures w14:val="standardContextual"/>
        </w:rPr>
        <w:t xml:space="preserve">, 132 </w:t>
      </w:r>
      <w:proofErr w:type="spellStart"/>
      <w:r w:rsidR="004E0D08" w:rsidRPr="00C43543">
        <w:rPr>
          <w:szCs w:val="28"/>
          <w14:ligatures w14:val="standardContextual"/>
        </w:rPr>
        <w:t>Wn</w:t>
      </w:r>
      <w:proofErr w:type="spellEnd"/>
      <w:r w:rsidRPr="00C43543">
        <w:rPr>
          <w:szCs w:val="28"/>
          <w14:ligatures w14:val="standardContextual"/>
        </w:rPr>
        <w:t>. App. 470, 475, 131 P.3d 958 (2006)</w:t>
      </w:r>
      <w:r w:rsidR="004E7245" w:rsidRPr="00C43543">
        <w:rPr>
          <w:szCs w:val="28"/>
          <w14:ligatures w14:val="standardContextual"/>
        </w:rPr>
        <w:fldChar w:fldCharType="begin"/>
      </w:r>
      <w:r w:rsidR="004E7245" w:rsidRPr="00C43543">
        <w:rPr>
          <w:szCs w:val="28"/>
          <w14:ligatures w14:val="standardContextual"/>
        </w:rPr>
        <w:instrText xml:space="preserve"> TA \l "</w:instrText>
      </w:r>
      <w:r w:rsidR="004E7245" w:rsidRPr="00C43543">
        <w:rPr>
          <w:i/>
          <w:iCs/>
          <w:szCs w:val="28"/>
          <w14:ligatures w14:val="standardContextual"/>
        </w:rPr>
        <w:instrText>Northwest Pipeline Corp. v. Adams County</w:instrText>
      </w:r>
      <w:r w:rsidR="004E7245" w:rsidRPr="00C43543">
        <w:rPr>
          <w:szCs w:val="28"/>
          <w14:ligatures w14:val="standardContextual"/>
        </w:rPr>
        <w:instrText>,</w:instrText>
      </w:r>
      <w:r w:rsidR="004E7245" w:rsidRPr="00C43543">
        <w:rPr>
          <w:szCs w:val="28"/>
          <w14:ligatures w14:val="standardContextual"/>
        </w:rPr>
        <w:br/>
        <w:instrText xml:space="preserve">132 Wash. App. 470, 131 P.3d 958 (2006)" \s "Nw. Pipeline v. Adams, 132 Wash. App. 470" \c 1 </w:instrText>
      </w:r>
      <w:r w:rsidR="004E7245" w:rsidRPr="00C43543">
        <w:rPr>
          <w:szCs w:val="28"/>
          <w14:ligatures w14:val="standardContextual"/>
        </w:rPr>
        <w:fldChar w:fldCharType="end"/>
      </w:r>
      <w:r w:rsidRPr="00C43543">
        <w:rPr>
          <w:szCs w:val="28"/>
          <w14:ligatures w14:val="standardContextual"/>
        </w:rPr>
        <w:t>.</w:t>
      </w:r>
    </w:p>
    <w:p w14:paraId="53761383" w14:textId="5242992F" w:rsidR="004362B3" w:rsidRPr="00C43543" w:rsidRDefault="004362B3" w:rsidP="004362B3">
      <w:pPr>
        <w:pStyle w:val="BodyText"/>
        <w:rPr>
          <w:szCs w:val="28"/>
          <w14:ligatures w14:val="standardContextual"/>
        </w:rPr>
      </w:pPr>
      <w:r w:rsidRPr="00C43543">
        <w:rPr>
          <w:szCs w:val="28"/>
          <w14:ligatures w14:val="standardContextual"/>
        </w:rPr>
        <w:t>When reviewing a jury verdict for sufficient evidence, this Court must defer to the jury’s constitutional role by “</w:t>
      </w:r>
      <w:proofErr w:type="spellStart"/>
      <w:r w:rsidRPr="00C43543">
        <w:rPr>
          <w:szCs w:val="28"/>
          <w14:ligatures w14:val="standardContextual"/>
        </w:rPr>
        <w:t>presum</w:t>
      </w:r>
      <w:proofErr w:type="spellEnd"/>
      <w:r w:rsidRPr="00C43543">
        <w:rPr>
          <w:szCs w:val="28"/>
          <w14:ligatures w14:val="standardContextual"/>
        </w:rPr>
        <w:t>[</w:t>
      </w:r>
      <w:proofErr w:type="spellStart"/>
      <w:r w:rsidRPr="00C43543">
        <w:rPr>
          <w:szCs w:val="28"/>
          <w14:ligatures w14:val="standardContextual"/>
        </w:rPr>
        <w:t>ing</w:t>
      </w:r>
      <w:proofErr w:type="spellEnd"/>
      <w:r w:rsidRPr="00C43543">
        <w:rPr>
          <w:szCs w:val="28"/>
          <w14:ligatures w14:val="standardContextual"/>
        </w:rPr>
        <w:t xml:space="preserve">] that the jury resolved every conflict and drew every reasonable inference in favor of the prevailing party.” </w:t>
      </w:r>
      <w:r w:rsidRPr="00C43543">
        <w:rPr>
          <w:i/>
          <w:iCs/>
          <w:szCs w:val="28"/>
          <w14:ligatures w14:val="standardContextual"/>
        </w:rPr>
        <w:t>Coogan</w:t>
      </w:r>
      <w:r w:rsidRPr="00C43543">
        <w:rPr>
          <w:szCs w:val="28"/>
          <w14:ligatures w14:val="standardContextual"/>
        </w:rPr>
        <w:t>, 197 Wn.2d at 812-13</w:t>
      </w:r>
      <w:r w:rsidR="004E7245" w:rsidRPr="00C43543">
        <w:rPr>
          <w:szCs w:val="28"/>
          <w14:ligatures w14:val="standardContextual"/>
        </w:rPr>
        <w:fldChar w:fldCharType="begin"/>
      </w:r>
      <w:r w:rsidR="004E7245" w:rsidRPr="00C43543">
        <w:rPr>
          <w:szCs w:val="28"/>
          <w14:ligatures w14:val="standardContextual"/>
        </w:rPr>
        <w:instrText xml:space="preserve"> TA \s "Coogan v. Borg., 197 Wn. 2d 790" </w:instrText>
      </w:r>
      <w:r w:rsidR="004E7245" w:rsidRPr="00C43543">
        <w:rPr>
          <w:szCs w:val="28"/>
          <w14:ligatures w14:val="standardContextual"/>
        </w:rPr>
        <w:fldChar w:fldCharType="end"/>
      </w:r>
      <w:r w:rsidRPr="00C43543">
        <w:rPr>
          <w:szCs w:val="28"/>
          <w14:ligatures w14:val="standardContextual"/>
        </w:rPr>
        <w:t xml:space="preserve">. And “even greater deference” is owed when, as here, the trial court denied a motion for a new trial. </w:t>
      </w:r>
      <w:r w:rsidRPr="00C43543">
        <w:rPr>
          <w:i/>
          <w:iCs/>
          <w:szCs w:val="28"/>
          <w14:ligatures w14:val="standardContextual"/>
        </w:rPr>
        <w:t>Id.</w:t>
      </w:r>
      <w:r w:rsidRPr="00C43543">
        <w:rPr>
          <w:szCs w:val="28"/>
          <w14:ligatures w14:val="standardContextual"/>
        </w:rPr>
        <w:t xml:space="preserve"> at 811</w:t>
      </w:r>
      <w:r w:rsidR="004E7245" w:rsidRPr="00C43543">
        <w:rPr>
          <w:szCs w:val="28"/>
          <w14:ligatures w14:val="standardContextual"/>
        </w:rPr>
        <w:fldChar w:fldCharType="begin"/>
      </w:r>
      <w:r w:rsidR="004E7245" w:rsidRPr="00C43543">
        <w:rPr>
          <w:szCs w:val="28"/>
          <w14:ligatures w14:val="standardContextual"/>
        </w:rPr>
        <w:instrText xml:space="preserve"> TA \s "Coogan v. Borg., 197 Wn. 2d 790" </w:instrText>
      </w:r>
      <w:r w:rsidR="004E7245" w:rsidRPr="00C43543">
        <w:rPr>
          <w:szCs w:val="28"/>
          <w14:ligatures w14:val="standardContextual"/>
        </w:rPr>
        <w:fldChar w:fldCharType="end"/>
      </w:r>
      <w:r w:rsidRPr="00C43543">
        <w:rPr>
          <w:szCs w:val="28"/>
          <w14:ligatures w14:val="standardContextual"/>
        </w:rPr>
        <w:t xml:space="preserve">. </w:t>
      </w:r>
    </w:p>
    <w:p w14:paraId="73D767AC" w14:textId="77777777" w:rsidR="004362B3" w:rsidRPr="00C43543" w:rsidRDefault="004362B3" w:rsidP="004362B3">
      <w:pPr>
        <w:pStyle w:val="BodyText"/>
        <w:rPr>
          <w:szCs w:val="28"/>
          <w14:ligatures w14:val="standardContextual"/>
        </w:rPr>
      </w:pPr>
      <w:r w:rsidRPr="00C43543">
        <w:rPr>
          <w:szCs w:val="28"/>
          <w14:ligatures w14:val="standardContextual"/>
        </w:rPr>
        <w:lastRenderedPageBreak/>
        <w:t xml:space="preserve">The question facing this Court is therefore narrow: Drawing every reasonable inference and resolving every evidentiary conflict in favor of the plaintiffs, was there sufficient evidence to sustain the jury’s verdict? The answer is yes. </w:t>
      </w:r>
    </w:p>
    <w:p w14:paraId="29B11E95" w14:textId="63548C73" w:rsidR="004362B3" w:rsidRPr="00C43543" w:rsidRDefault="00311F52" w:rsidP="00FC3399">
      <w:pPr>
        <w:pStyle w:val="Heading3"/>
        <w:rPr>
          <w:rFonts w:ascii="Adobe Garamond Pro" w:hAnsi="Adobe Garamond Pro"/>
          <w14:ligatures w14:val="standardContextual"/>
        </w:rPr>
      </w:pPr>
      <w:bookmarkStart w:id="76" w:name="_Toc109728360"/>
      <w:r w:rsidRPr="00C43543">
        <w:rPr>
          <w:rFonts w:ascii="Adobe Garamond Pro" w:hAnsi="Adobe Garamond Pro"/>
          <w14:ligatures w14:val="standardContextual"/>
        </w:rPr>
        <w:t xml:space="preserve">The jury’s verdict is firmly </w:t>
      </w:r>
      <w:r w:rsidR="004362B3" w:rsidRPr="00C43543">
        <w:rPr>
          <w:rFonts w:ascii="Adobe Garamond Pro" w:hAnsi="Adobe Garamond Pro"/>
          <w14:ligatures w14:val="standardContextual"/>
        </w:rPr>
        <w:t>support</w:t>
      </w:r>
      <w:r w:rsidRPr="00C43543">
        <w:rPr>
          <w:rFonts w:ascii="Adobe Garamond Pro" w:hAnsi="Adobe Garamond Pro"/>
          <w14:ligatures w14:val="standardContextual"/>
        </w:rPr>
        <w:t>ed</w:t>
      </w:r>
      <w:r w:rsidR="004362B3" w:rsidRPr="00C43543">
        <w:rPr>
          <w:rFonts w:ascii="Adobe Garamond Pro" w:hAnsi="Adobe Garamond Pro"/>
          <w14:ligatures w14:val="standardContextual"/>
        </w:rPr>
        <w:t xml:space="preserve"> </w:t>
      </w:r>
      <w:r w:rsidRPr="00C43543">
        <w:rPr>
          <w:rFonts w:ascii="Adobe Garamond Pro" w:hAnsi="Adobe Garamond Pro"/>
          <w14:ligatures w14:val="standardContextual"/>
        </w:rPr>
        <w:t>by substantial evidence</w:t>
      </w:r>
      <w:r w:rsidR="004362B3" w:rsidRPr="00C43543">
        <w:rPr>
          <w:rFonts w:ascii="Adobe Garamond Pro" w:hAnsi="Adobe Garamond Pro"/>
          <w14:ligatures w14:val="standardContextual"/>
        </w:rPr>
        <w:t xml:space="preserve"> of exposure-based causation.</w:t>
      </w:r>
      <w:bookmarkEnd w:id="76"/>
      <w:r w:rsidR="004362B3" w:rsidRPr="00C43543">
        <w:rPr>
          <w:rFonts w:ascii="Adobe Garamond Pro" w:hAnsi="Adobe Garamond Pro"/>
          <w14:ligatures w14:val="standardContextual"/>
        </w:rPr>
        <w:t xml:space="preserve"> </w:t>
      </w:r>
    </w:p>
    <w:p w14:paraId="0AEEFF97" w14:textId="61DFE86B" w:rsidR="004362B3" w:rsidRPr="00C43543" w:rsidRDefault="004362B3" w:rsidP="004362B3">
      <w:pPr>
        <w:pStyle w:val="BodyText"/>
        <w:rPr>
          <w:szCs w:val="28"/>
          <w14:ligatures w14:val="standardContextual"/>
        </w:rPr>
      </w:pPr>
      <w:r w:rsidRPr="00C43543">
        <w:rPr>
          <w:szCs w:val="28"/>
          <w14:ligatures w14:val="standardContextual"/>
        </w:rPr>
        <w:t>In chemical</w:t>
      </w:r>
      <w:r w:rsidR="00F7339C">
        <w:rPr>
          <w:szCs w:val="28"/>
          <w14:ligatures w14:val="standardContextual"/>
        </w:rPr>
        <w:t>-</w:t>
      </w:r>
      <w:r w:rsidRPr="00C43543">
        <w:rPr>
          <w:szCs w:val="28"/>
          <w14:ligatures w14:val="standardContextual"/>
        </w:rPr>
        <w:t xml:space="preserve">exposure cases, specific causation considers “whether a particular individual suffers from a particular ailment as a result of exposure to a substance.” </w:t>
      </w:r>
      <w:r w:rsidRPr="00C43543">
        <w:rPr>
          <w:i/>
          <w:iCs/>
          <w:szCs w:val="28"/>
          <w14:ligatures w14:val="standardContextual"/>
        </w:rPr>
        <w:t xml:space="preserve">In re Hanford Nuclear </w:t>
      </w:r>
      <w:proofErr w:type="spellStart"/>
      <w:r w:rsidRPr="00C43543">
        <w:rPr>
          <w:i/>
          <w:iCs/>
          <w:szCs w:val="28"/>
          <w14:ligatures w14:val="standardContextual"/>
        </w:rPr>
        <w:t>Rsrv</w:t>
      </w:r>
      <w:proofErr w:type="spellEnd"/>
      <w:r w:rsidRPr="00C43543">
        <w:rPr>
          <w:i/>
          <w:iCs/>
          <w:szCs w:val="28"/>
          <w14:ligatures w14:val="standardContextual"/>
        </w:rPr>
        <w:t>. Litig.</w:t>
      </w:r>
      <w:r w:rsidRPr="00C43543">
        <w:rPr>
          <w:szCs w:val="28"/>
          <w14:ligatures w14:val="standardContextual"/>
        </w:rPr>
        <w:t>, 292 F.3d 1124, 1133 (9th Cir. 2002)</w:t>
      </w:r>
      <w:r w:rsidR="004E7245" w:rsidRPr="00C43543">
        <w:rPr>
          <w:szCs w:val="28"/>
          <w14:ligatures w14:val="standardContextual"/>
        </w:rPr>
        <w:fldChar w:fldCharType="begin"/>
      </w:r>
      <w:r w:rsidR="004E7245" w:rsidRPr="00C43543">
        <w:rPr>
          <w:szCs w:val="28"/>
          <w14:ligatures w14:val="standardContextual"/>
        </w:rPr>
        <w:instrText xml:space="preserve"> TA \l "</w:instrText>
      </w:r>
      <w:r w:rsidR="004E7245" w:rsidRPr="00C43543">
        <w:rPr>
          <w:i/>
          <w:iCs/>
          <w:szCs w:val="28"/>
          <w14:ligatures w14:val="standardContextual"/>
        </w:rPr>
        <w:instrText>In re Hanford Nuclear Reservation Litigation</w:instrText>
      </w:r>
      <w:r w:rsidR="004E7245" w:rsidRPr="00C43543">
        <w:rPr>
          <w:szCs w:val="28"/>
          <w14:ligatures w14:val="standardContextual"/>
        </w:rPr>
        <w:instrText>,</w:instrText>
      </w:r>
      <w:r w:rsidR="004E7245" w:rsidRPr="00C43543">
        <w:rPr>
          <w:szCs w:val="28"/>
          <w14:ligatures w14:val="standardContextual"/>
        </w:rPr>
        <w:br/>
        <w:instrText xml:space="preserve">292 F.3d 1124 (9th Cir. 2002)" \s "Hanford Nuclear, 292 F.3d 1124" \c 1 </w:instrText>
      </w:r>
      <w:r w:rsidR="004E7245" w:rsidRPr="00C43543">
        <w:rPr>
          <w:szCs w:val="28"/>
          <w14:ligatures w14:val="standardContextual"/>
        </w:rPr>
        <w:fldChar w:fldCharType="end"/>
      </w:r>
      <w:r w:rsidRPr="00C43543">
        <w:rPr>
          <w:szCs w:val="28"/>
          <w14:ligatures w14:val="standardContextual"/>
        </w:rPr>
        <w:t xml:space="preserve">. To prove specific causation, the plaintiff must establish that it is more probable than not that she was exposed to the defendant’s toxin and that the exposure caused subsequent disease or disability.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Potter v. </w:t>
      </w:r>
      <w:proofErr w:type="spellStart"/>
      <w:r w:rsidRPr="00C43543">
        <w:rPr>
          <w:i/>
          <w:iCs/>
          <w:szCs w:val="28"/>
          <w14:ligatures w14:val="standardContextual"/>
        </w:rPr>
        <w:t>Dep’t</w:t>
      </w:r>
      <w:proofErr w:type="spellEnd"/>
      <w:r w:rsidRPr="00C43543">
        <w:rPr>
          <w:i/>
          <w:iCs/>
          <w:szCs w:val="28"/>
          <w14:ligatures w14:val="standardContextual"/>
        </w:rPr>
        <w:t xml:space="preserve"> of Lab. &amp; Indus.</w:t>
      </w:r>
      <w:r w:rsidRPr="00C43543">
        <w:rPr>
          <w:szCs w:val="28"/>
          <w14:ligatures w14:val="standardContextual"/>
        </w:rPr>
        <w:t xml:space="preserve">, 172 </w:t>
      </w:r>
      <w:proofErr w:type="spellStart"/>
      <w:r w:rsidRPr="00C43543">
        <w:rPr>
          <w:szCs w:val="28"/>
          <w14:ligatures w14:val="standardContextual"/>
        </w:rPr>
        <w:t>Wn</w:t>
      </w:r>
      <w:proofErr w:type="spellEnd"/>
      <w:r w:rsidRPr="00C43543">
        <w:rPr>
          <w:szCs w:val="28"/>
          <w14:ligatures w14:val="standardContextual"/>
        </w:rPr>
        <w:t>. App. 301, 313, 289 P.3d 727 (2012)</w:t>
      </w:r>
      <w:r w:rsidR="00EF6840" w:rsidRPr="00C43543">
        <w:rPr>
          <w:szCs w:val="28"/>
          <w14:ligatures w14:val="standardContextual"/>
        </w:rPr>
        <w:fldChar w:fldCharType="begin"/>
      </w:r>
      <w:r w:rsidR="00EF6840" w:rsidRPr="00C43543">
        <w:rPr>
          <w:szCs w:val="28"/>
          <w14:ligatures w14:val="standardContextual"/>
        </w:rPr>
        <w:instrText xml:space="preserve"> TA \l "</w:instrText>
      </w:r>
      <w:r w:rsidR="00EF6840" w:rsidRPr="00C43543">
        <w:rPr>
          <w:i/>
          <w:iCs/>
          <w:szCs w:val="28"/>
          <w14:ligatures w14:val="standardContextual"/>
        </w:rPr>
        <w:instrText>Potter v. Department of Labor &amp; Industries</w:instrText>
      </w:r>
      <w:r w:rsidR="00EF6840" w:rsidRPr="00C43543">
        <w:rPr>
          <w:szCs w:val="28"/>
          <w14:ligatures w14:val="standardContextual"/>
        </w:rPr>
        <w:instrText>,</w:instrText>
      </w:r>
      <w:r w:rsidR="00EF6840" w:rsidRPr="00C43543">
        <w:rPr>
          <w:szCs w:val="28"/>
          <w14:ligatures w14:val="standardContextual"/>
        </w:rPr>
        <w:br/>
        <w:instrText xml:space="preserve">172 Wn. App. 301, 289 P.3d 727 (2012)" \s "Potter v. Dep’t of Lab., 172 Wn. App. 301" \c 1 </w:instrText>
      </w:r>
      <w:r w:rsidR="00EF6840"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Lewis v. Simpson Timber Co.</w:t>
      </w:r>
      <w:r w:rsidRPr="00C43543">
        <w:rPr>
          <w:szCs w:val="28"/>
          <w14:ligatures w14:val="standardContextual"/>
        </w:rPr>
        <w:t xml:space="preserve">, 145 </w:t>
      </w:r>
      <w:proofErr w:type="spellStart"/>
      <w:r w:rsidRPr="00C43543">
        <w:rPr>
          <w:szCs w:val="28"/>
          <w14:ligatures w14:val="standardContextual"/>
        </w:rPr>
        <w:t>Wn</w:t>
      </w:r>
      <w:proofErr w:type="spellEnd"/>
      <w:r w:rsidRPr="00C43543">
        <w:rPr>
          <w:szCs w:val="28"/>
          <w14:ligatures w14:val="standardContextual"/>
        </w:rPr>
        <w:t>. App. 302, 319-320, 189 P.3d 178 (2008)</w:t>
      </w:r>
      <w:r w:rsidR="00EF6840" w:rsidRPr="00C43543">
        <w:rPr>
          <w:szCs w:val="28"/>
          <w14:ligatures w14:val="standardContextual"/>
        </w:rPr>
        <w:fldChar w:fldCharType="begin"/>
      </w:r>
      <w:r w:rsidR="00EF6840" w:rsidRPr="00C43543">
        <w:rPr>
          <w:szCs w:val="28"/>
          <w14:ligatures w14:val="standardContextual"/>
        </w:rPr>
        <w:instrText xml:space="preserve"> TA \l "</w:instrText>
      </w:r>
      <w:r w:rsidR="00EF6840" w:rsidRPr="00C43543">
        <w:rPr>
          <w:i/>
          <w:iCs/>
          <w:szCs w:val="28"/>
          <w14:ligatures w14:val="standardContextual"/>
        </w:rPr>
        <w:instrText>Lewis v. Simpson Timber Co.</w:instrText>
      </w:r>
      <w:r w:rsidR="00EF6840" w:rsidRPr="00C43543">
        <w:rPr>
          <w:szCs w:val="28"/>
          <w14:ligatures w14:val="standardContextual"/>
        </w:rPr>
        <w:instrText>,</w:instrText>
      </w:r>
      <w:r w:rsidR="00EF6840" w:rsidRPr="00C43543">
        <w:rPr>
          <w:szCs w:val="28"/>
          <w14:ligatures w14:val="standardContextual"/>
        </w:rPr>
        <w:br/>
        <w:instrText xml:space="preserve">145 Wn. App. 302, 189 P.3d 178 (2008)" \s "Lewis v. Simpson, 145 Wn. App. 302" \c 1 </w:instrText>
      </w:r>
      <w:r w:rsidR="00EF6840" w:rsidRPr="00C43543">
        <w:rPr>
          <w:szCs w:val="28"/>
          <w14:ligatures w14:val="standardContextual"/>
        </w:rPr>
        <w:fldChar w:fldCharType="end"/>
      </w:r>
      <w:r w:rsidRPr="00C43543">
        <w:rPr>
          <w:szCs w:val="28"/>
          <w14:ligatures w14:val="standardContextual"/>
        </w:rPr>
        <w:t xml:space="preserve">. The “more probable than not standard does not require absolute certainty.” </w:t>
      </w:r>
      <w:r w:rsidRPr="00C43543">
        <w:rPr>
          <w:i/>
          <w:iCs/>
          <w:szCs w:val="28"/>
          <w14:ligatures w14:val="standardContextual"/>
        </w:rPr>
        <w:t>Bruns v. Paccar, Inc.</w:t>
      </w:r>
      <w:r w:rsidRPr="00C43543">
        <w:rPr>
          <w:szCs w:val="28"/>
          <w14:ligatures w14:val="standardContextual"/>
        </w:rPr>
        <w:t xml:space="preserve">, 77 </w:t>
      </w:r>
      <w:proofErr w:type="spellStart"/>
      <w:r w:rsidRPr="00C43543">
        <w:rPr>
          <w:szCs w:val="28"/>
          <w14:ligatures w14:val="standardContextual"/>
        </w:rPr>
        <w:t>Wn</w:t>
      </w:r>
      <w:proofErr w:type="spellEnd"/>
      <w:r w:rsidRPr="00C43543">
        <w:rPr>
          <w:szCs w:val="28"/>
          <w14:ligatures w14:val="standardContextual"/>
        </w:rPr>
        <w:t>. App. 201, 215, 890 P.2d 469 (1995)</w:t>
      </w:r>
      <w:r w:rsidR="00EF6840" w:rsidRPr="00C43543">
        <w:rPr>
          <w:szCs w:val="28"/>
          <w14:ligatures w14:val="standardContextual"/>
        </w:rPr>
        <w:fldChar w:fldCharType="begin"/>
      </w:r>
      <w:r w:rsidR="00EF6840" w:rsidRPr="00C43543">
        <w:rPr>
          <w:szCs w:val="28"/>
          <w14:ligatures w14:val="standardContextual"/>
        </w:rPr>
        <w:instrText xml:space="preserve"> TA \l "</w:instrText>
      </w:r>
      <w:r w:rsidR="00EF6840" w:rsidRPr="00C43543">
        <w:rPr>
          <w:i/>
          <w:iCs/>
          <w:szCs w:val="28"/>
          <w14:ligatures w14:val="standardContextual"/>
        </w:rPr>
        <w:instrText>Bruns v. Paccar, Inc.</w:instrText>
      </w:r>
      <w:r w:rsidR="00EF6840" w:rsidRPr="00C43543">
        <w:rPr>
          <w:szCs w:val="28"/>
          <w14:ligatures w14:val="standardContextual"/>
        </w:rPr>
        <w:instrText>,</w:instrText>
      </w:r>
      <w:r w:rsidR="00EF6840" w:rsidRPr="00C43543">
        <w:rPr>
          <w:szCs w:val="28"/>
          <w14:ligatures w14:val="standardContextual"/>
        </w:rPr>
        <w:br/>
        <w:instrText xml:space="preserve">77 Wn. App. 201, 890 P.2d 469 (1995)" \s "Bruns v. Paccar, 77 Wn. App. 201" \c 1 </w:instrText>
      </w:r>
      <w:r w:rsidR="00EF6840" w:rsidRPr="00C43543">
        <w:rPr>
          <w:szCs w:val="28"/>
          <w14:ligatures w14:val="standardContextual"/>
        </w:rPr>
        <w:fldChar w:fldCharType="end"/>
      </w:r>
      <w:r w:rsidRPr="00C43543">
        <w:rPr>
          <w:szCs w:val="28"/>
          <w14:ligatures w14:val="standardContextual"/>
        </w:rPr>
        <w:t>.</w:t>
      </w:r>
      <w:r w:rsidRPr="00C43543">
        <w:rPr>
          <w:rStyle w:val="FootnoteReference"/>
          <w:szCs w:val="28"/>
          <w14:ligatures w14:val="standardContextual"/>
        </w:rPr>
        <w:footnoteReference w:id="24"/>
      </w:r>
    </w:p>
    <w:p w14:paraId="0DD005F2" w14:textId="65E43280" w:rsidR="004362B3" w:rsidRPr="00C43543" w:rsidRDefault="004362B3" w:rsidP="004362B3">
      <w:pPr>
        <w:pStyle w:val="BodyText"/>
        <w:rPr>
          <w:szCs w:val="28"/>
          <w14:ligatures w14:val="standardContextual"/>
        </w:rPr>
      </w:pPr>
      <w:r w:rsidRPr="00C43543">
        <w:rPr>
          <w:b/>
          <w:bCs/>
          <w:i/>
          <w:iCs/>
          <w:szCs w:val="28"/>
          <w14:ligatures w14:val="standardContextual"/>
        </w:rPr>
        <w:lastRenderedPageBreak/>
        <w:t xml:space="preserve">Exposure. </w:t>
      </w:r>
      <w:r w:rsidRPr="00C43543">
        <w:rPr>
          <w:szCs w:val="28"/>
          <w14:ligatures w14:val="standardContextual"/>
        </w:rPr>
        <w:t xml:space="preserve">Here, there was a plethora of evidence at trial showing that the plaintiffs were exposed </w:t>
      </w:r>
      <w:r w:rsidR="00F7339C">
        <w:rPr>
          <w:szCs w:val="28"/>
          <w14:ligatures w14:val="standardContextual"/>
        </w:rPr>
        <w:t xml:space="preserve">to </w:t>
      </w:r>
      <w:r w:rsidRPr="00C43543">
        <w:rPr>
          <w:szCs w:val="28"/>
          <w14:ligatures w14:val="standardContextual"/>
        </w:rPr>
        <w:t xml:space="preserve">dangerous levels of PCB and furans at Sky Valley—far more than necessary to sustain the verdict.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Nw. Pipeline</w:t>
      </w:r>
      <w:r w:rsidRPr="00C43543">
        <w:rPr>
          <w:szCs w:val="28"/>
          <w14:ligatures w14:val="standardContextual"/>
        </w:rPr>
        <w:t xml:space="preserve">, 132 </w:t>
      </w:r>
      <w:proofErr w:type="spellStart"/>
      <w:r w:rsidR="004E0D08" w:rsidRPr="00C43543">
        <w:rPr>
          <w:szCs w:val="28"/>
          <w14:ligatures w14:val="standardContextual"/>
        </w:rPr>
        <w:t>Wn</w:t>
      </w:r>
      <w:proofErr w:type="spellEnd"/>
      <w:r w:rsidRPr="00C43543">
        <w:rPr>
          <w:szCs w:val="28"/>
          <w14:ligatures w14:val="standardContextual"/>
        </w:rPr>
        <w:t>. App. at 475</w:t>
      </w:r>
      <w:r w:rsidR="00EF6840" w:rsidRPr="00C43543">
        <w:rPr>
          <w:szCs w:val="28"/>
          <w14:ligatures w14:val="standardContextual"/>
        </w:rPr>
        <w:fldChar w:fldCharType="begin"/>
      </w:r>
      <w:r w:rsidR="00EF6840" w:rsidRPr="00C43543">
        <w:rPr>
          <w:szCs w:val="28"/>
          <w14:ligatures w14:val="standardContextual"/>
        </w:rPr>
        <w:instrText xml:space="preserve"> TA \s "Nw. Pipeline v. Adams, 132 Wash. App. 470" </w:instrText>
      </w:r>
      <w:r w:rsidR="00EF6840" w:rsidRPr="00C43543">
        <w:rPr>
          <w:szCs w:val="28"/>
          <w14:ligatures w14:val="standardContextual"/>
        </w:rPr>
        <w:fldChar w:fldCharType="end"/>
      </w:r>
      <w:r w:rsidRPr="00C43543">
        <w:rPr>
          <w:szCs w:val="28"/>
          <w14:ligatures w14:val="standardContextual"/>
        </w:rPr>
        <w:t xml:space="preserve">. </w:t>
      </w:r>
    </w:p>
    <w:p w14:paraId="0080D056" w14:textId="77777777" w:rsidR="004362B3" w:rsidRPr="00C43543" w:rsidRDefault="004362B3" w:rsidP="004362B3">
      <w:pPr>
        <w:pStyle w:val="BodyText"/>
        <w:rPr>
          <w:color w:val="E36C0A" w:themeColor="accent6" w:themeShade="BF"/>
          <w:szCs w:val="28"/>
          <w14:ligatures w14:val="standardContextual"/>
        </w:rPr>
      </w:pPr>
      <w:r w:rsidRPr="00C43543">
        <w:rPr>
          <w:szCs w:val="28"/>
          <w14:ligatures w14:val="standardContextual"/>
        </w:rPr>
        <w:t xml:space="preserve">Start with the experts: Coghlan told the jury that his “conservative” estimate was that the teachers were exposed to PCB air levels ranging from “several hundred to several thousand nanograms per cubic meter.” Tr. 1725, 1798-99; </w:t>
      </w:r>
      <w:r w:rsidRPr="00C43543">
        <w:rPr>
          <w:i/>
          <w:iCs/>
          <w:szCs w:val="28"/>
          <w14:ligatures w14:val="standardContextual"/>
        </w:rPr>
        <w:t xml:space="preserve">see </w:t>
      </w:r>
      <w:r w:rsidRPr="00C43543">
        <w:rPr>
          <w:szCs w:val="28"/>
          <w14:ligatures w14:val="standardContextual"/>
        </w:rPr>
        <w:t>Tr. 1705-06, 1818-19. These levels indisputably exceed safe exposure limits. Dr. Carpenter testified that PCB air levels of just 18 to 40 ng/m</w:t>
      </w:r>
      <w:r w:rsidRPr="00C43543">
        <w:rPr>
          <w:szCs w:val="28"/>
          <w:vertAlign w:val="superscript"/>
          <w14:ligatures w14:val="standardContextual"/>
        </w:rPr>
        <w:t xml:space="preserve">3 </w:t>
      </w:r>
      <w:r w:rsidRPr="00C43543">
        <w:rPr>
          <w:szCs w:val="28"/>
          <w14:ligatures w14:val="standardContextual"/>
        </w:rPr>
        <w:t>were “associated with significant elevations of diseases” likely “caused by inhalation of PCBs.” Tr. 2451. The Snohomish County health district cautioned that it would “not approve opening [the school] for the 2016-2017 school year if the concentrations of PCBs in the air [we]re not below 100 ng/m</w:t>
      </w:r>
      <w:r w:rsidRPr="00C43543">
        <w:rPr>
          <w:szCs w:val="28"/>
          <w:vertAlign w:val="superscript"/>
          <w14:ligatures w14:val="standardContextual"/>
        </w:rPr>
        <w:t>3</w:t>
      </w:r>
      <w:r w:rsidRPr="00C43543">
        <w:rPr>
          <w:szCs w:val="28"/>
          <w14:ligatures w14:val="standardContextual"/>
        </w:rPr>
        <w:t xml:space="preserve">.” P-2124 at 1-2. And, NIOSH, the federal agency tasked with researching workplace health and safety, recommends that “if someone is in an environment that’s higher </w:t>
      </w:r>
      <w:r w:rsidRPr="00C43543">
        <w:rPr>
          <w:szCs w:val="28"/>
          <w14:ligatures w14:val="standardContextual"/>
        </w:rPr>
        <w:lastRenderedPageBreak/>
        <w:t xml:space="preserve">than a thousand nanograms per cubic meter,” they should wear a “full-faced, supplied-air respirator.” Tr. 1814; </w:t>
      </w:r>
      <w:r w:rsidRPr="00C43543">
        <w:rPr>
          <w:i/>
          <w:iCs/>
          <w:szCs w:val="28"/>
          <w14:ligatures w14:val="standardContextual"/>
        </w:rPr>
        <w:t>see</w:t>
      </w:r>
      <w:r w:rsidRPr="00C43543">
        <w:rPr>
          <w:szCs w:val="28"/>
          <w14:ligatures w14:val="standardContextual"/>
        </w:rPr>
        <w:t xml:space="preserve"> P-881 at 17-18. </w:t>
      </w:r>
    </w:p>
    <w:p w14:paraId="68C5284A" w14:textId="5FFB74E4" w:rsidR="004362B3" w:rsidRPr="00C43543" w:rsidRDefault="004362B3" w:rsidP="004362B3">
      <w:pPr>
        <w:pStyle w:val="BodyText"/>
        <w:rPr>
          <w:szCs w:val="28"/>
          <w14:ligatures w14:val="standardContextual"/>
        </w:rPr>
      </w:pPr>
      <w:r w:rsidRPr="00C43543">
        <w:rPr>
          <w:szCs w:val="28"/>
          <w14:ligatures w14:val="standardContextual"/>
        </w:rPr>
        <w:t xml:space="preserve">Ignoring this evidence entirely, Monsanto contends (at 141-46) that plaintiffs were not in fact exposed to PCBs at sufficient levels to cause injury. </w:t>
      </w:r>
      <w:r w:rsidRPr="00C43543">
        <w:rPr>
          <w:color w:val="000000" w:themeColor="text1"/>
          <w:szCs w:val="28"/>
          <w14:ligatures w14:val="standardContextual"/>
        </w:rPr>
        <w:t>But, unlike Monsanto, this Court is not permitted to ignore the evidence.</w:t>
      </w:r>
      <w:r w:rsidRPr="00C43543">
        <w:rPr>
          <w:color w:val="FF0000"/>
          <w:szCs w:val="28"/>
          <w14:ligatures w14:val="standardContextual"/>
        </w:rPr>
        <w:t xml:space="preserve"> </w:t>
      </w:r>
      <w:r w:rsidRPr="00C43543">
        <w:rPr>
          <w:szCs w:val="28"/>
          <w14:ligatures w14:val="standardContextual"/>
        </w:rPr>
        <w:t xml:space="preserve">To the contrary, it </w:t>
      </w:r>
      <w:r w:rsidRPr="00C43543">
        <w:rPr>
          <w:i/>
          <w:iCs/>
          <w:szCs w:val="28"/>
          <w14:ligatures w14:val="standardContextual"/>
        </w:rPr>
        <w:t>must</w:t>
      </w:r>
      <w:r w:rsidRPr="00C43543">
        <w:rPr>
          <w:szCs w:val="28"/>
          <w14:ligatures w14:val="standardContextual"/>
        </w:rPr>
        <w:t xml:space="preserve"> affirm “so long as there was evidence which, if believed, would support the verdict.” </w:t>
      </w:r>
      <w:r w:rsidRPr="00C43543">
        <w:rPr>
          <w:i/>
          <w:iCs/>
          <w:szCs w:val="28"/>
          <w14:ligatures w14:val="standardContextual"/>
        </w:rPr>
        <w:t>Burnside</w:t>
      </w:r>
      <w:r w:rsidRPr="00C43543">
        <w:rPr>
          <w:szCs w:val="28"/>
          <w14:ligatures w14:val="standardContextual"/>
        </w:rPr>
        <w:t>, 123 Wn.2d at 107-08</w:t>
      </w:r>
      <w:r w:rsidR="00434A25" w:rsidRPr="00C43543">
        <w:rPr>
          <w:szCs w:val="28"/>
          <w14:ligatures w14:val="standardContextual"/>
        </w:rPr>
        <w:fldChar w:fldCharType="begin"/>
      </w:r>
      <w:r w:rsidR="00434A25" w:rsidRPr="00C43543">
        <w:rPr>
          <w:szCs w:val="28"/>
          <w14:ligatures w14:val="standardContextual"/>
        </w:rPr>
        <w:instrText xml:space="preserve"> TA \s "Burnside v. Simpson, 123 Wn. 2d 93" </w:instrText>
      </w:r>
      <w:r w:rsidR="00434A25" w:rsidRPr="00C43543">
        <w:rPr>
          <w:szCs w:val="28"/>
          <w14:ligatures w14:val="standardContextual"/>
        </w:rPr>
        <w:fldChar w:fldCharType="end"/>
      </w:r>
      <w:r w:rsidRPr="00C43543">
        <w:rPr>
          <w:szCs w:val="28"/>
          <w14:ligatures w14:val="standardContextual"/>
        </w:rPr>
        <w:t xml:space="preserve">. </w:t>
      </w:r>
    </w:p>
    <w:p w14:paraId="6EA78FCC" w14:textId="2802D652" w:rsidR="004362B3" w:rsidRPr="00C43543" w:rsidRDefault="004362B3" w:rsidP="004362B3">
      <w:pPr>
        <w:pStyle w:val="BodyText"/>
        <w:rPr>
          <w:szCs w:val="28"/>
          <w14:ligatures w14:val="standardContextual"/>
        </w:rPr>
      </w:pPr>
      <w:r w:rsidRPr="00C43543">
        <w:rPr>
          <w:szCs w:val="28"/>
          <w14:ligatures w14:val="standardContextual"/>
        </w:rPr>
        <w:t>In any case, Monsanto’s argument about exposure doesn’t even make sense on its own terms. The company asserts (at 141) that Coghlan</w:t>
      </w:r>
      <w:r w:rsidR="00F7339C">
        <w:rPr>
          <w:szCs w:val="28"/>
          <w14:ligatures w14:val="standardContextual"/>
        </w:rPr>
        <w:t>’s exposure estimates included</w:t>
      </w:r>
      <w:r w:rsidRPr="00C43543">
        <w:rPr>
          <w:szCs w:val="28"/>
          <w14:ligatures w14:val="standardContextual"/>
        </w:rPr>
        <w:t xml:space="preserve"> “concededly safe exposure levels.” As Dr. Carpenter’s testimony shows, there was no such concession. But even if so, Monsanto doesn’t dispute the ranges also contained concededly </w:t>
      </w:r>
      <w:r w:rsidRPr="00C43543">
        <w:rPr>
          <w:i/>
          <w:iCs/>
          <w:szCs w:val="28"/>
          <w14:ligatures w14:val="standardContextual"/>
        </w:rPr>
        <w:t>dangerous</w:t>
      </w:r>
      <w:r w:rsidRPr="00C43543">
        <w:rPr>
          <w:szCs w:val="28"/>
          <w14:ligatures w14:val="standardContextual"/>
        </w:rPr>
        <w:t xml:space="preserve"> exposure levels. The jury had enough information to conclude that the plaintiffs were exposed to those higher levels—especially because Coghlan’s estimates were conservatively low. Tr. 1799-801, 1819; CP 11950.</w:t>
      </w:r>
      <w:r w:rsidRPr="00C43543">
        <w:rPr>
          <w:rStyle w:val="FootnoteReference"/>
          <w:szCs w:val="28"/>
          <w14:ligatures w14:val="standardContextual"/>
        </w:rPr>
        <w:footnoteReference w:id="25"/>
      </w:r>
      <w:r w:rsidRPr="00C43543">
        <w:rPr>
          <w:szCs w:val="28"/>
          <w14:ligatures w14:val="standardContextual"/>
        </w:rPr>
        <w:t xml:space="preserve"> </w:t>
      </w:r>
    </w:p>
    <w:p w14:paraId="2D448683" w14:textId="2A1CFE0E" w:rsidR="004362B3" w:rsidRPr="00C43543" w:rsidRDefault="004362B3" w:rsidP="004362B3">
      <w:pPr>
        <w:pStyle w:val="BodyText"/>
        <w:rPr>
          <w:szCs w:val="28"/>
          <w14:ligatures w14:val="standardContextual"/>
        </w:rPr>
      </w:pPr>
      <w:r w:rsidRPr="00C43543">
        <w:rPr>
          <w:szCs w:val="28"/>
          <w14:ligatures w14:val="standardContextual"/>
        </w:rPr>
        <w:lastRenderedPageBreak/>
        <w:t>Monsanto’s argument that the plaintiffs’ blood tests undermine Coghlan’s estimates similarly ask</w:t>
      </w:r>
      <w:r w:rsidR="00F7339C">
        <w:rPr>
          <w:szCs w:val="28"/>
          <w14:ligatures w14:val="standardContextual"/>
        </w:rPr>
        <w:t>s</w:t>
      </w:r>
      <w:r w:rsidRPr="00C43543">
        <w:rPr>
          <w:szCs w:val="28"/>
          <w14:ligatures w14:val="standardContextual"/>
        </w:rPr>
        <w:t xml:space="preserve"> this Court to turn a blind eye to the trial record. The company asserts (at 136) that blood tests are the “most reliable”—indeed, the “only”—way to estimate PCB exposure. But numerous experts testified that the opposite is true, including experts whom Monsanto never tried to exclude, such as Dr. Carpenter and Dr. </w:t>
      </w:r>
      <w:proofErr w:type="spellStart"/>
      <w:r w:rsidRPr="00C43543">
        <w:rPr>
          <w:szCs w:val="28"/>
          <w14:ligatures w14:val="standardContextual"/>
        </w:rPr>
        <w:t>DeGrandchamp</w:t>
      </w:r>
      <w:proofErr w:type="spellEnd"/>
      <w:r w:rsidRPr="00C43543">
        <w:rPr>
          <w:szCs w:val="28"/>
          <w14:ligatures w14:val="standardContextual"/>
        </w:rPr>
        <w:t xml:space="preserve">. </w:t>
      </w:r>
      <w:r w:rsidRPr="00C43543">
        <w:rPr>
          <w:i/>
          <w:iCs/>
          <w:szCs w:val="28"/>
          <w14:ligatures w14:val="standardContextual"/>
        </w:rPr>
        <w:t>See, e.g.</w:t>
      </w:r>
      <w:r w:rsidRPr="00C43543">
        <w:rPr>
          <w:szCs w:val="28"/>
          <w14:ligatures w14:val="standardContextual"/>
        </w:rPr>
        <w:t>, Tr. 2149-52 (“[L]</w:t>
      </w:r>
      <w:proofErr w:type="spellStart"/>
      <w:r w:rsidRPr="00C43543">
        <w:rPr>
          <w:szCs w:val="28"/>
          <w14:ligatures w14:val="standardContextual"/>
        </w:rPr>
        <w:t>ower</w:t>
      </w:r>
      <w:proofErr w:type="spellEnd"/>
      <w:r w:rsidRPr="00C43543">
        <w:rPr>
          <w:szCs w:val="28"/>
          <w14:ligatures w14:val="standardContextual"/>
        </w:rPr>
        <w:t xml:space="preserve"> chlorinated” PCB combinations may “not be reflected in [a] blood sample” after several years because their half-lives are “so short</w:t>
      </w:r>
      <w:r w:rsidR="00F7339C">
        <w:rPr>
          <w:szCs w:val="28"/>
          <w14:ligatures w14:val="standardContextual"/>
        </w:rPr>
        <w:t>.</w:t>
      </w:r>
      <w:r w:rsidRPr="00C43543">
        <w:rPr>
          <w:szCs w:val="28"/>
          <w14:ligatures w14:val="standardContextual"/>
        </w:rPr>
        <w:t>”); Tr. 1333 (explaining that when PCBs transform into dangerous metabolites, they can’t be “measured in the blood”). And the jury also considered the findings of federal health researchers, who have made clear that “[t]</w:t>
      </w:r>
      <w:proofErr w:type="gramStart"/>
      <w:r w:rsidRPr="00C43543">
        <w:rPr>
          <w:szCs w:val="28"/>
          <w14:ligatures w14:val="standardContextual"/>
        </w:rPr>
        <w:t>he</w:t>
      </w:r>
      <w:proofErr w:type="gramEnd"/>
      <w:r w:rsidRPr="00C43543">
        <w:rPr>
          <w:szCs w:val="28"/>
          <w14:ligatures w14:val="standardContextual"/>
        </w:rPr>
        <w:t xml:space="preserve"> lack of obvious elevation</w:t>
      </w:r>
      <w:r w:rsidR="00764DF8" w:rsidRPr="00C43543">
        <w:rPr>
          <w:szCs w:val="28"/>
          <w14:ligatures w14:val="standardContextual"/>
        </w:rPr>
        <w:t xml:space="preserve"> </w:t>
      </w:r>
      <w:r w:rsidRPr="00C43543">
        <w:rPr>
          <w:szCs w:val="28"/>
          <w14:ligatures w14:val="standardContextual"/>
        </w:rPr>
        <w:t xml:space="preserve">[in blood] months to years after exposure does not, of itself, indicate lack of exposure.” P-1297 at 420; </w:t>
      </w:r>
      <w:r w:rsidRPr="00C43543">
        <w:rPr>
          <w:i/>
          <w:iCs/>
          <w:szCs w:val="28"/>
          <w14:ligatures w14:val="standardContextual"/>
        </w:rPr>
        <w:t xml:space="preserve">see </w:t>
      </w:r>
      <w:r w:rsidRPr="00C43543">
        <w:rPr>
          <w:szCs w:val="28"/>
          <w14:ligatures w14:val="standardContextual"/>
        </w:rPr>
        <w:t>P-1674 at 10.</w:t>
      </w:r>
      <w:r w:rsidRPr="00C43543">
        <w:rPr>
          <w:rStyle w:val="FootnoteReference"/>
          <w:szCs w:val="28"/>
          <w14:ligatures w14:val="standardContextual"/>
        </w:rPr>
        <w:footnoteReference w:id="26"/>
      </w:r>
      <w:r w:rsidRPr="00C43543">
        <w:rPr>
          <w:szCs w:val="28"/>
          <w14:ligatures w14:val="standardContextual"/>
        </w:rPr>
        <w:t xml:space="preserve"> </w:t>
      </w:r>
    </w:p>
    <w:p w14:paraId="38E91DBE" w14:textId="1B7CEADA" w:rsidR="004362B3" w:rsidRPr="00C43543" w:rsidRDefault="004362B3" w:rsidP="004362B3">
      <w:pPr>
        <w:pStyle w:val="BodyText"/>
        <w:rPr>
          <w:szCs w:val="28"/>
          <w14:ligatures w14:val="standardContextual"/>
        </w:rPr>
      </w:pPr>
      <w:r w:rsidRPr="00C43543">
        <w:rPr>
          <w:szCs w:val="28"/>
          <w14:ligatures w14:val="standardContextual"/>
        </w:rPr>
        <w:lastRenderedPageBreak/>
        <w:t>Because it can</w:t>
      </w:r>
      <w:r w:rsidR="0083677A" w:rsidRPr="00C43543">
        <w:rPr>
          <w:szCs w:val="28"/>
          <w14:ligatures w14:val="standardContextual"/>
        </w:rPr>
        <w:t>’</w:t>
      </w:r>
      <w:r w:rsidRPr="00C43543">
        <w:rPr>
          <w:szCs w:val="28"/>
          <w14:ligatures w14:val="standardContextual"/>
        </w:rPr>
        <w:t xml:space="preserve">t </w:t>
      </w:r>
      <w:r w:rsidR="00764DF8" w:rsidRPr="00C43543">
        <w:rPr>
          <w:szCs w:val="28"/>
          <w14:ligatures w14:val="standardContextual"/>
        </w:rPr>
        <w:t>counter</w:t>
      </w:r>
      <w:r w:rsidRPr="00C43543">
        <w:rPr>
          <w:szCs w:val="28"/>
          <w14:ligatures w14:val="standardContextual"/>
        </w:rPr>
        <w:t xml:space="preserve"> this evidence, Monsanto just ignores it. It argues (at 139-40) that the blood tests </w:t>
      </w:r>
      <w:r w:rsidRPr="00C43543">
        <w:rPr>
          <w:i/>
          <w:iCs/>
          <w:szCs w:val="28"/>
          <w14:ligatures w14:val="standardContextual"/>
        </w:rPr>
        <w:t>must</w:t>
      </w:r>
      <w:r w:rsidRPr="00C43543">
        <w:rPr>
          <w:szCs w:val="28"/>
          <w14:ligatures w14:val="standardContextual"/>
        </w:rPr>
        <w:t xml:space="preserve"> have been able to detect the plaintiffs’ exposure because the </w:t>
      </w:r>
      <w:r w:rsidR="00764DF8" w:rsidRPr="00C43543">
        <w:rPr>
          <w:szCs w:val="28"/>
          <w14:ligatures w14:val="standardContextual"/>
        </w:rPr>
        <w:t>half-life</w:t>
      </w:r>
      <w:r w:rsidRPr="00C43543">
        <w:rPr>
          <w:szCs w:val="28"/>
          <w14:ligatures w14:val="standardContextual"/>
        </w:rPr>
        <w:t xml:space="preserve"> for the relevant PCB combinations is 5.5 years—and the plaintiffs left Sky Valley “only approximately 3-4 years prior to the testing of their blood samples.” But this is just cherry-picking one technical detail and ignoring an abundance of contrary evidence, including published scientific studies, </w:t>
      </w:r>
      <w:r w:rsidR="00764DF8" w:rsidRPr="00C43543">
        <w:rPr>
          <w:szCs w:val="28"/>
          <w14:ligatures w14:val="standardContextual"/>
        </w:rPr>
        <w:t>showing</w:t>
      </w:r>
      <w:r w:rsidRPr="00C43543">
        <w:rPr>
          <w:szCs w:val="28"/>
          <w14:ligatures w14:val="standardContextual"/>
        </w:rPr>
        <w:t xml:space="preserve"> that the PCBs’ half-life is far shorter.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w:t>
      </w:r>
      <w:r w:rsidRPr="00C43543">
        <w:rPr>
          <w:szCs w:val="28"/>
          <w14:ligatures w14:val="standardContextual"/>
        </w:rPr>
        <w:t>Tr. 1339 (between “six months” and “4.8 years”); Tr. 2481 (“weeks to maybe two years”); P-1297 at 420 (“6-7 months” to “2.6 years”).</w:t>
      </w:r>
    </w:p>
    <w:p w14:paraId="6226C6CE" w14:textId="067150EE" w:rsidR="004362B3" w:rsidRPr="00C43543" w:rsidRDefault="004362B3" w:rsidP="004362B3">
      <w:pPr>
        <w:pStyle w:val="BodyText"/>
        <w:rPr>
          <w:szCs w:val="28"/>
          <w14:ligatures w14:val="standardContextual"/>
        </w:rPr>
      </w:pPr>
      <w:r w:rsidRPr="00C43543">
        <w:rPr>
          <w:b/>
          <w:bCs/>
          <w:i/>
          <w:iCs/>
          <w:szCs w:val="28"/>
          <w14:ligatures w14:val="standardContextual"/>
        </w:rPr>
        <w:t>Causation.</w:t>
      </w:r>
      <w:r w:rsidRPr="00C43543">
        <w:rPr>
          <w:szCs w:val="28"/>
          <w14:ligatures w14:val="standardContextual"/>
        </w:rPr>
        <w:t xml:space="preserve"> Monsanto’s sufficiency argument aimed at causation is just as weak.</w:t>
      </w:r>
      <w:r w:rsidRPr="00C43543">
        <w:rPr>
          <w:b/>
          <w:bCs/>
          <w:i/>
          <w:iCs/>
          <w:szCs w:val="28"/>
          <w14:ligatures w14:val="standardContextual"/>
        </w:rPr>
        <w:t xml:space="preserve"> </w:t>
      </w:r>
      <w:r w:rsidRPr="00C43543">
        <w:rPr>
          <w:szCs w:val="28"/>
          <w14:ligatures w14:val="standardContextual"/>
        </w:rPr>
        <w:t>Evidence is “sufficient” to prove causation “[</w:t>
      </w:r>
      <w:proofErr w:type="spellStart"/>
      <w:r w:rsidRPr="00C43543">
        <w:rPr>
          <w:szCs w:val="28"/>
          <w14:ligatures w14:val="standardContextual"/>
        </w:rPr>
        <w:t>i</w:t>
      </w:r>
      <w:proofErr w:type="spellEnd"/>
      <w:r w:rsidRPr="00C43543">
        <w:rPr>
          <w:szCs w:val="28"/>
          <w14:ligatures w14:val="standardContextual"/>
        </w:rPr>
        <w:t xml:space="preserve">]f, from the medical testimony given and the facts and circumstances proven by other evidence, a reasonable person can infer that the causal connection exists.” </w:t>
      </w:r>
      <w:r w:rsidRPr="00C43543">
        <w:rPr>
          <w:i/>
          <w:iCs/>
          <w:szCs w:val="28"/>
          <w14:ligatures w14:val="standardContextual"/>
        </w:rPr>
        <w:t xml:space="preserve">Sacred Heart Med. Ctr. v. </w:t>
      </w:r>
      <w:proofErr w:type="spellStart"/>
      <w:r w:rsidRPr="00C43543">
        <w:rPr>
          <w:i/>
          <w:iCs/>
          <w:szCs w:val="28"/>
          <w14:ligatures w14:val="standardContextual"/>
        </w:rPr>
        <w:t>Carrado</w:t>
      </w:r>
      <w:proofErr w:type="spellEnd"/>
      <w:r w:rsidRPr="00C43543">
        <w:rPr>
          <w:szCs w:val="28"/>
          <w14:ligatures w14:val="standardContextual"/>
        </w:rPr>
        <w:t>, 92 Wn.2d 631, 636-37, 600 P.2d 1015 (1979)</w:t>
      </w:r>
      <w:r w:rsidR="00434A25" w:rsidRPr="00C43543">
        <w:rPr>
          <w:szCs w:val="28"/>
          <w14:ligatures w14:val="standardContextual"/>
        </w:rPr>
        <w:fldChar w:fldCharType="begin"/>
      </w:r>
      <w:r w:rsidR="00434A25" w:rsidRPr="00C43543">
        <w:rPr>
          <w:szCs w:val="28"/>
          <w14:ligatures w14:val="standardContextual"/>
        </w:rPr>
        <w:instrText xml:space="preserve"> TA \l "</w:instrText>
      </w:r>
      <w:r w:rsidR="00434A25" w:rsidRPr="00C43543">
        <w:rPr>
          <w:i/>
          <w:iCs/>
          <w:szCs w:val="28"/>
          <w14:ligatures w14:val="standardContextual"/>
        </w:rPr>
        <w:instrText>Sacred Heart Medical Center v. Carrado</w:instrText>
      </w:r>
      <w:r w:rsidR="00434A25" w:rsidRPr="00C43543">
        <w:rPr>
          <w:szCs w:val="28"/>
          <w14:ligatures w14:val="standardContextual"/>
        </w:rPr>
        <w:instrText>,</w:instrText>
      </w:r>
      <w:r w:rsidR="00434A25" w:rsidRPr="00C43543">
        <w:rPr>
          <w:szCs w:val="28"/>
          <w14:ligatures w14:val="standardContextual"/>
        </w:rPr>
        <w:br/>
        <w:instrText xml:space="preserve">92 Wn. 2d 631, 600 P.2d 1015 (1979)" \s "Sacred Heart v. Carrado, 92 Wn. 2d 631" \c 1 </w:instrText>
      </w:r>
      <w:r w:rsidR="00434A25"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w:t>
      </w:r>
      <w:r w:rsidRPr="00C43543">
        <w:rPr>
          <w:szCs w:val="28"/>
          <w14:ligatures w14:val="standardContextual"/>
        </w:rPr>
        <w:t xml:space="preserve"> </w:t>
      </w:r>
      <w:proofErr w:type="spellStart"/>
      <w:r w:rsidRPr="00C43543">
        <w:rPr>
          <w:i/>
          <w:iCs/>
          <w:szCs w:val="28"/>
          <w14:ligatures w14:val="standardContextual"/>
        </w:rPr>
        <w:t>Intalco</w:t>
      </w:r>
      <w:proofErr w:type="spellEnd"/>
      <w:r w:rsidRPr="00C43543">
        <w:rPr>
          <w:i/>
          <w:iCs/>
          <w:szCs w:val="28"/>
          <w14:ligatures w14:val="standardContextual"/>
        </w:rPr>
        <w:t xml:space="preserve"> Aluminum v. </w:t>
      </w:r>
      <w:proofErr w:type="spellStart"/>
      <w:r w:rsidRPr="00C43543">
        <w:rPr>
          <w:i/>
          <w:iCs/>
          <w:szCs w:val="28"/>
          <w14:ligatures w14:val="standardContextual"/>
        </w:rPr>
        <w:t>Dep’t</w:t>
      </w:r>
      <w:proofErr w:type="spellEnd"/>
      <w:r w:rsidRPr="00C43543">
        <w:rPr>
          <w:i/>
          <w:iCs/>
          <w:szCs w:val="28"/>
          <w14:ligatures w14:val="standardContextual"/>
        </w:rPr>
        <w:t xml:space="preserve"> of Lab. &amp; Indus.</w:t>
      </w:r>
      <w:r w:rsidRPr="00C43543">
        <w:rPr>
          <w:szCs w:val="28"/>
          <w14:ligatures w14:val="standardContextual"/>
        </w:rPr>
        <w:t xml:space="preserve">, 66 </w:t>
      </w:r>
      <w:proofErr w:type="spellStart"/>
      <w:r w:rsidR="004E0D08" w:rsidRPr="00C43543">
        <w:rPr>
          <w:szCs w:val="28"/>
          <w14:ligatures w14:val="standardContextual"/>
        </w:rPr>
        <w:t>Wn</w:t>
      </w:r>
      <w:proofErr w:type="spellEnd"/>
      <w:r w:rsidRPr="00C43543">
        <w:rPr>
          <w:szCs w:val="28"/>
          <w14:ligatures w14:val="standardContextual"/>
        </w:rPr>
        <w:t xml:space="preserve">. App. 644, 655, 833 P.2d </w:t>
      </w:r>
      <w:r w:rsidRPr="00C43543">
        <w:rPr>
          <w:szCs w:val="28"/>
          <w14:ligatures w14:val="standardContextual"/>
        </w:rPr>
        <w:lastRenderedPageBreak/>
        <w:t>390 (1992)</w:t>
      </w:r>
      <w:r w:rsidR="00DE66CD" w:rsidRPr="00C43543">
        <w:rPr>
          <w:szCs w:val="28"/>
          <w14:ligatures w14:val="standardContextual"/>
        </w:rPr>
        <w:fldChar w:fldCharType="begin"/>
      </w:r>
      <w:r w:rsidR="00DE66CD" w:rsidRPr="00C43543">
        <w:rPr>
          <w:szCs w:val="28"/>
          <w14:ligatures w14:val="standardContextual"/>
        </w:rPr>
        <w:instrText xml:space="preserve"> TA \l "</w:instrText>
      </w:r>
      <w:r w:rsidR="00DE66CD" w:rsidRPr="00C43543">
        <w:rPr>
          <w:i/>
          <w:iCs/>
          <w:szCs w:val="28"/>
          <w14:ligatures w14:val="standardContextual"/>
        </w:rPr>
        <w:instrText>Intalco Aluminum v. Department of Labor &amp; Industries</w:instrText>
      </w:r>
      <w:r w:rsidR="00DE66CD" w:rsidRPr="00C43543">
        <w:rPr>
          <w:szCs w:val="28"/>
          <w14:ligatures w14:val="standardContextual"/>
        </w:rPr>
        <w:instrText>,</w:instrText>
      </w:r>
      <w:r w:rsidR="00DE66CD" w:rsidRPr="00C43543">
        <w:rPr>
          <w:szCs w:val="28"/>
          <w14:ligatures w14:val="standardContextual"/>
        </w:rPr>
        <w:br/>
        <w:instrText xml:space="preserve">66 Wash. App. 644, 833 P.2d 390 (1992)" \s "Intalco, 66 Wash. App. 644" \c 1 </w:instrText>
      </w:r>
      <w:r w:rsidR="00DE66CD" w:rsidRPr="00C43543">
        <w:rPr>
          <w:szCs w:val="28"/>
          <w14:ligatures w14:val="standardContextual"/>
        </w:rPr>
        <w:fldChar w:fldCharType="end"/>
      </w:r>
      <w:r w:rsidRPr="00C43543">
        <w:rPr>
          <w:szCs w:val="28"/>
          <w14:ligatures w14:val="standardContextual"/>
        </w:rPr>
        <w:t xml:space="preserve"> (same).</w:t>
      </w:r>
      <w:r w:rsidRPr="00C43543">
        <w:rPr>
          <w:rStyle w:val="FootnoteReference"/>
          <w:szCs w:val="28"/>
          <w14:ligatures w14:val="standardContextual"/>
        </w:rPr>
        <w:footnoteReference w:id="27"/>
      </w:r>
      <w:r w:rsidRPr="00C43543">
        <w:rPr>
          <w:szCs w:val="28"/>
          <w14:ligatures w14:val="standardContextual"/>
        </w:rPr>
        <w:t xml:space="preserve"> Here, Dr. Dahlgren testified that the levels of PCB and furan exposure at Sky Valley were hazardous to human beings. And other evidence—including independent third-party testing results—also ruled out alternative causes for the plaintiffs’ injuries.</w:t>
      </w:r>
    </w:p>
    <w:p w14:paraId="04A5C34D" w14:textId="0FE4C589" w:rsidR="004362B3" w:rsidRPr="00C43543" w:rsidRDefault="004362B3" w:rsidP="004362B3">
      <w:pPr>
        <w:pStyle w:val="BodyText"/>
        <w:rPr>
          <w:szCs w:val="28"/>
          <w14:ligatures w14:val="standardContextual"/>
        </w:rPr>
      </w:pPr>
      <w:r w:rsidRPr="00C43543">
        <w:rPr>
          <w:szCs w:val="28"/>
          <w14:ligatures w14:val="standardContextual"/>
        </w:rPr>
        <w:t xml:space="preserve">Monsanto’s sole response (at 149) to this evidence is that </w:t>
      </w:r>
      <w:r w:rsidR="00F7339C">
        <w:rPr>
          <w:szCs w:val="28"/>
          <w14:ligatures w14:val="standardContextual"/>
        </w:rPr>
        <w:t xml:space="preserve">neither </w:t>
      </w:r>
      <w:r w:rsidRPr="00C43543">
        <w:rPr>
          <w:szCs w:val="28"/>
          <w14:ligatures w14:val="standardContextual"/>
        </w:rPr>
        <w:t xml:space="preserve">Dr. Dahlgren “nor any of plaintiffs’ other experts, testified that PCB levels as low as 70, 340 or 47 ng/m3 can cause injury.” Monsanto repeats the same mistake it made in attacking the exposure evidence: </w:t>
      </w:r>
      <w:r w:rsidR="00F7339C">
        <w:rPr>
          <w:szCs w:val="28"/>
          <w14:ligatures w14:val="standardContextual"/>
        </w:rPr>
        <w:t>I</w:t>
      </w:r>
      <w:r w:rsidRPr="00C43543">
        <w:rPr>
          <w:szCs w:val="28"/>
          <w14:ligatures w14:val="standardContextual"/>
        </w:rPr>
        <w:t xml:space="preserve">t ignores that Coghlan’s estimate included higher levels, too. And Monsanto does not dispute that Dr. Dahlgren testified that those levels </w:t>
      </w:r>
      <w:r w:rsidRPr="00C43543">
        <w:rPr>
          <w:i/>
          <w:iCs/>
          <w:szCs w:val="28"/>
          <w14:ligatures w14:val="standardContextual"/>
        </w:rPr>
        <w:t>do</w:t>
      </w:r>
      <w:r w:rsidRPr="00C43543">
        <w:rPr>
          <w:szCs w:val="28"/>
          <w14:ligatures w14:val="standardContextual"/>
        </w:rPr>
        <w:t xml:space="preserve"> cause neurological injuries, and did, in fact, cause the plaintiffs’ brain damage. </w:t>
      </w:r>
      <w:r w:rsidR="00000FA6" w:rsidRPr="00C43543">
        <w:rPr>
          <w:szCs w:val="28"/>
          <w14:ligatures w14:val="standardContextual"/>
        </w:rPr>
        <w:t>Tr. 2247-48, 2263-64</w:t>
      </w:r>
      <w:r w:rsidRPr="00C43543">
        <w:rPr>
          <w:szCs w:val="28"/>
          <w14:ligatures w14:val="standardContextual"/>
        </w:rPr>
        <w:t xml:space="preserve">. Monsanto also ignores—again—Dr. Carpenter’s </w:t>
      </w:r>
      <w:r w:rsidRPr="00C43543">
        <w:rPr>
          <w:szCs w:val="28"/>
          <w14:ligatures w14:val="standardContextual"/>
        </w:rPr>
        <w:lastRenderedPageBreak/>
        <w:t>testimony that even 18 to 40 ng/m</w:t>
      </w:r>
      <w:r w:rsidRPr="00C43543">
        <w:rPr>
          <w:szCs w:val="28"/>
          <w:vertAlign w:val="superscript"/>
          <w14:ligatures w14:val="standardContextual"/>
        </w:rPr>
        <w:t xml:space="preserve">3 </w:t>
      </w:r>
      <w:r w:rsidRPr="00C43543">
        <w:rPr>
          <w:szCs w:val="28"/>
          <w14:ligatures w14:val="standardContextual"/>
        </w:rPr>
        <w:t>were “associated with significant elevations of diseases” likely “caused by inhalation of PCBs.” Tr. 2451.</w:t>
      </w:r>
    </w:p>
    <w:p w14:paraId="66421B1D" w14:textId="1E1621C1" w:rsidR="004362B3" w:rsidRPr="00C43543" w:rsidRDefault="004362B3" w:rsidP="004362B3">
      <w:pPr>
        <w:pStyle w:val="BodyText"/>
        <w:rPr>
          <w:szCs w:val="28"/>
          <w14:ligatures w14:val="standardContextual"/>
        </w:rPr>
      </w:pPr>
      <w:r w:rsidRPr="00C43543">
        <w:rPr>
          <w:szCs w:val="28"/>
          <w14:ligatures w14:val="standardContextual"/>
        </w:rPr>
        <w:t xml:space="preserve">Monsanto has identified some conflicting evidence. It has not come remotely close to identifying a verdict “clearly unsupported by substantial evidence.” </w:t>
      </w:r>
      <w:r w:rsidRPr="00C43543">
        <w:rPr>
          <w:i/>
          <w:iCs/>
          <w:szCs w:val="28"/>
          <w14:ligatures w14:val="standardContextual"/>
        </w:rPr>
        <w:t>See Faust</w:t>
      </w:r>
      <w:r w:rsidRPr="00C43543">
        <w:rPr>
          <w:szCs w:val="28"/>
          <w14:ligatures w14:val="standardContextual"/>
        </w:rPr>
        <w:t>, 167 Wn.2d at 538</w:t>
      </w:r>
      <w:r w:rsidR="00513187" w:rsidRPr="00C43543">
        <w:rPr>
          <w:szCs w:val="28"/>
          <w14:ligatures w14:val="standardContextual"/>
        </w:rPr>
        <w:fldChar w:fldCharType="begin"/>
      </w:r>
      <w:r w:rsidR="00513187" w:rsidRPr="00C43543">
        <w:rPr>
          <w:szCs w:val="28"/>
          <w14:ligatures w14:val="standardContextual"/>
        </w:rPr>
        <w:instrText xml:space="preserve"> TA \s "Faust v. Albertson, 167 Wn. 2d 531" </w:instrText>
      </w:r>
      <w:r w:rsidR="00513187" w:rsidRPr="00C43543">
        <w:rPr>
          <w:szCs w:val="28"/>
          <w14:ligatures w14:val="standardContextual"/>
        </w:rPr>
        <w:fldChar w:fldCharType="end"/>
      </w:r>
      <w:r w:rsidRPr="00C43543">
        <w:rPr>
          <w:szCs w:val="28"/>
          <w14:ligatures w14:val="standardContextual"/>
        </w:rPr>
        <w:t xml:space="preserve">. </w:t>
      </w:r>
    </w:p>
    <w:p w14:paraId="111725F1" w14:textId="77777777" w:rsidR="004362B3" w:rsidRPr="00C43543" w:rsidRDefault="004362B3" w:rsidP="00FC3399">
      <w:pPr>
        <w:pStyle w:val="Heading3"/>
        <w:rPr>
          <w:rFonts w:ascii="Adobe Garamond Pro" w:hAnsi="Adobe Garamond Pro"/>
          <w14:ligatures w14:val="standardContextual"/>
        </w:rPr>
      </w:pPr>
      <w:bookmarkStart w:id="77" w:name="_Toc109728361"/>
      <w:r w:rsidRPr="00C43543">
        <w:rPr>
          <w:rFonts w:ascii="Adobe Garamond Pro" w:hAnsi="Adobe Garamond Pro"/>
          <w14:ligatures w14:val="standardContextual"/>
        </w:rPr>
        <w:t>Sufficient evidence supports the jury’s finding that the plaintiffs were injured by furans.</w:t>
      </w:r>
      <w:bookmarkEnd w:id="77"/>
      <w:r w:rsidRPr="00C43543">
        <w:rPr>
          <w:rFonts w:ascii="Adobe Garamond Pro" w:hAnsi="Adobe Garamond Pro"/>
          <w14:ligatures w14:val="standardContextual"/>
        </w:rPr>
        <w:t xml:space="preserve"> </w:t>
      </w:r>
    </w:p>
    <w:p w14:paraId="40175270" w14:textId="77777777" w:rsidR="004362B3" w:rsidRPr="00C43543" w:rsidRDefault="004362B3" w:rsidP="004362B3">
      <w:pPr>
        <w:pStyle w:val="BodyText"/>
        <w:rPr>
          <w:szCs w:val="28"/>
          <w14:ligatures w14:val="standardContextual"/>
        </w:rPr>
      </w:pPr>
      <w:r w:rsidRPr="00C43543">
        <w:rPr>
          <w:szCs w:val="28"/>
          <w14:ligatures w14:val="standardContextual"/>
        </w:rPr>
        <w:t>Monsanto next contends that the jury’s verdict on the construction-defect claim must be reversed because the plaintiffs presented “no evidence that they were injured by exposure to furans.” Br. 152-56. Once again, Monsanto misrepresents the record and ignores the highly deferential standard of review.</w:t>
      </w:r>
    </w:p>
    <w:p w14:paraId="59C25BE4" w14:textId="6D13F072" w:rsidR="004362B3" w:rsidRPr="00C43543" w:rsidRDefault="004362B3" w:rsidP="004362B3">
      <w:pPr>
        <w:pStyle w:val="BodyText"/>
        <w:rPr>
          <w:szCs w:val="28"/>
          <w14:ligatures w14:val="standardContextual"/>
        </w:rPr>
      </w:pPr>
      <w:r w:rsidRPr="00C43543">
        <w:rPr>
          <w:szCs w:val="28"/>
          <w14:ligatures w14:val="standardContextual"/>
        </w:rPr>
        <w:t xml:space="preserve">At trial, the jury was presented with significant evidence that the plaintiffs had been exposed to and injured by furans—an unintentional chemical byproduct created </w:t>
      </w:r>
      <w:r w:rsidR="00E454A9" w:rsidRPr="00C43543">
        <w:rPr>
          <w:szCs w:val="28"/>
          <w14:ligatures w14:val="standardContextual"/>
        </w:rPr>
        <w:t xml:space="preserve">in </w:t>
      </w:r>
      <w:r w:rsidRPr="00C43543">
        <w:rPr>
          <w:szCs w:val="28"/>
          <w14:ligatures w14:val="standardContextual"/>
        </w:rPr>
        <w:t>the manufacturing process that is potentially more toxic than PCBs themselves. Tr. 577</w:t>
      </w:r>
      <w:r w:rsidR="002E72D2" w:rsidRPr="00C43543">
        <w:rPr>
          <w:szCs w:val="28"/>
          <w14:ligatures w14:val="standardContextual"/>
        </w:rPr>
        <w:t>-59</w:t>
      </w:r>
      <w:r w:rsidRPr="00C43543">
        <w:rPr>
          <w:szCs w:val="28"/>
          <w14:ligatures w14:val="standardContextual"/>
        </w:rPr>
        <w:t xml:space="preserve">, 1706-07, 2248, 2273. The plaintiffs’ blood tests detected furans at “elevated” levels, “especially for Michelle Leahy.” Tr. 2031; </w:t>
      </w:r>
      <w:r w:rsidRPr="00C43543">
        <w:rPr>
          <w:i/>
          <w:iCs/>
          <w:szCs w:val="28"/>
          <w14:ligatures w14:val="standardContextual"/>
        </w:rPr>
        <w:t>see</w:t>
      </w:r>
      <w:r w:rsidRPr="00C43543">
        <w:rPr>
          <w:szCs w:val="28"/>
          <w14:ligatures w14:val="standardContextual"/>
        </w:rPr>
        <w:t xml:space="preserve"> Tr. 1822-24. And, based on their chemical profile, these furans were </w:t>
      </w:r>
      <w:r w:rsidRPr="00C43543">
        <w:rPr>
          <w:szCs w:val="28"/>
          <w14:ligatures w14:val="standardContextual"/>
        </w:rPr>
        <w:lastRenderedPageBreak/>
        <w:t xml:space="preserve">traced back to the PCB light fixtures at Sky Valley as the most likely source. Tr. 1822-1824, 2032. Testing at the school also detected furans in dust samples and in PCB oil that had leaked onto the carpet—and those furans likewise matched the chemical profile of the PCBs in the light ballasts. Tr. 1707, 1728, 1821-22. </w:t>
      </w:r>
    </w:p>
    <w:p w14:paraId="104C256E" w14:textId="77777777" w:rsidR="004362B3" w:rsidRPr="00C43543" w:rsidRDefault="004362B3" w:rsidP="004362B3">
      <w:pPr>
        <w:pStyle w:val="BodyText"/>
        <w:rPr>
          <w:szCs w:val="28"/>
          <w14:ligatures w14:val="standardContextual"/>
        </w:rPr>
      </w:pPr>
      <w:r w:rsidRPr="00C43543">
        <w:rPr>
          <w:szCs w:val="28"/>
          <w14:ligatures w14:val="standardContextual"/>
        </w:rPr>
        <w:t>Despite this testimony, Monsanto asserts that there was “</w:t>
      </w:r>
      <w:r w:rsidRPr="00C43543">
        <w:rPr>
          <w:i/>
          <w:iCs/>
          <w:szCs w:val="28"/>
          <w14:ligatures w14:val="standardContextual"/>
        </w:rPr>
        <w:t>no</w:t>
      </w:r>
      <w:r w:rsidRPr="00C43543">
        <w:rPr>
          <w:szCs w:val="28"/>
          <w14:ligatures w14:val="standardContextual"/>
        </w:rPr>
        <w:t xml:space="preserve"> evidence that any furans detected at [Sky Valley] came from anything other than background environmental sources.” Br. 154. And, despite specific evidence that the plaintiffs’ blood contained “elevated” furans levels, the company falsely asserts that “it is undisputed that plaintiffs’ blood did not show an unusual level of exposure to furans.” </w:t>
      </w:r>
      <w:r w:rsidRPr="00C43543">
        <w:rPr>
          <w:i/>
          <w:iCs/>
          <w:szCs w:val="28"/>
          <w14:ligatures w14:val="standardContextual"/>
        </w:rPr>
        <w:t xml:space="preserve">Id. </w:t>
      </w:r>
      <w:r w:rsidRPr="00C43543">
        <w:rPr>
          <w:szCs w:val="28"/>
          <w14:ligatures w14:val="standardContextual"/>
        </w:rPr>
        <w:t xml:space="preserve">Monsanto just misstates the record. </w:t>
      </w:r>
    </w:p>
    <w:p w14:paraId="54449A24" w14:textId="5219BC35" w:rsidR="004362B3" w:rsidRPr="00C43543" w:rsidRDefault="004362B3" w:rsidP="004362B3">
      <w:pPr>
        <w:pStyle w:val="BodyText"/>
        <w:rPr>
          <w:szCs w:val="28"/>
          <w14:ligatures w14:val="standardContextual"/>
        </w:rPr>
      </w:pPr>
      <w:r w:rsidRPr="00C43543">
        <w:rPr>
          <w:szCs w:val="28"/>
          <w14:ligatures w14:val="standardContextual"/>
        </w:rPr>
        <w:t xml:space="preserve">The jury considered Monsanto’s arguments and evidence about </w:t>
      </w:r>
      <w:proofErr w:type="gramStart"/>
      <w:r w:rsidRPr="00C43543">
        <w:rPr>
          <w:szCs w:val="28"/>
          <w14:ligatures w14:val="standardContextual"/>
        </w:rPr>
        <w:t>furans, and</w:t>
      </w:r>
      <w:proofErr w:type="gramEnd"/>
      <w:r w:rsidRPr="00C43543">
        <w:rPr>
          <w:szCs w:val="28"/>
          <w14:ligatures w14:val="standardContextual"/>
        </w:rPr>
        <w:t xml:space="preserve"> disagreed. This Court must respect its finding. </w:t>
      </w:r>
      <w:r w:rsidRPr="00C43543">
        <w:rPr>
          <w:i/>
          <w:iCs/>
          <w:szCs w:val="28"/>
          <w14:ligatures w14:val="standardContextual"/>
        </w:rPr>
        <w:t>See Coogan</w:t>
      </w:r>
      <w:r w:rsidRPr="00C43543">
        <w:rPr>
          <w:szCs w:val="28"/>
          <w14:ligatures w14:val="standardContextual"/>
        </w:rPr>
        <w:t>, 197 Wn.2d at 812-13</w:t>
      </w:r>
      <w:r w:rsidR="00513187" w:rsidRPr="00C43543">
        <w:rPr>
          <w:szCs w:val="28"/>
          <w14:ligatures w14:val="standardContextual"/>
        </w:rPr>
        <w:fldChar w:fldCharType="begin"/>
      </w:r>
      <w:r w:rsidR="00513187" w:rsidRPr="00C43543">
        <w:rPr>
          <w:szCs w:val="28"/>
          <w14:ligatures w14:val="standardContextual"/>
        </w:rPr>
        <w:instrText xml:space="preserve"> TA \s "Coogan v. Borg., 197 Wn. 2d 790" </w:instrText>
      </w:r>
      <w:r w:rsidR="00513187" w:rsidRPr="00C43543">
        <w:rPr>
          <w:szCs w:val="28"/>
          <w14:ligatures w14:val="standardContextual"/>
        </w:rPr>
        <w:fldChar w:fldCharType="end"/>
      </w:r>
      <w:r w:rsidRPr="00C43543">
        <w:rPr>
          <w:szCs w:val="28"/>
          <w14:ligatures w14:val="standardContextual"/>
        </w:rPr>
        <w:t>.</w:t>
      </w:r>
    </w:p>
    <w:p w14:paraId="7302773B" w14:textId="405627F4" w:rsidR="007604E3" w:rsidRPr="00C43543" w:rsidRDefault="004362B3" w:rsidP="004362B3">
      <w:pPr>
        <w:pStyle w:val="BodyText"/>
        <w:rPr>
          <w:szCs w:val="28"/>
          <w14:ligatures w14:val="standardContextual"/>
        </w:rPr>
      </w:pPr>
      <w:r w:rsidRPr="00C43543">
        <w:rPr>
          <w:szCs w:val="28"/>
          <w14:ligatures w14:val="standardContextual"/>
        </w:rPr>
        <w:t xml:space="preserve">Finally, even if this Court were to reverse the jury’s construction-defect finding, </w:t>
      </w:r>
      <w:r w:rsidR="00764DF8" w:rsidRPr="00C43543">
        <w:rPr>
          <w:szCs w:val="28"/>
          <w14:ligatures w14:val="standardContextual"/>
        </w:rPr>
        <w:t>that</w:t>
      </w:r>
      <w:r w:rsidRPr="00C43543">
        <w:rPr>
          <w:szCs w:val="28"/>
          <w14:ligatures w14:val="standardContextual"/>
        </w:rPr>
        <w:t xml:space="preserve"> would </w:t>
      </w:r>
      <w:r w:rsidR="00764DF8" w:rsidRPr="00C43543">
        <w:rPr>
          <w:szCs w:val="28"/>
          <w14:ligatures w14:val="standardContextual"/>
        </w:rPr>
        <w:t xml:space="preserve">not </w:t>
      </w:r>
      <w:r w:rsidRPr="00C43543">
        <w:rPr>
          <w:szCs w:val="28"/>
          <w14:ligatures w14:val="standardContextual"/>
        </w:rPr>
        <w:t xml:space="preserve">require vacatur of the punitive-damages award. </w:t>
      </w:r>
      <w:r w:rsidR="00764DF8" w:rsidRPr="00C43543">
        <w:rPr>
          <w:i/>
          <w:iCs/>
          <w:szCs w:val="28"/>
          <w14:ligatures w14:val="standardContextual"/>
        </w:rPr>
        <w:t xml:space="preserve">See </w:t>
      </w:r>
      <w:r w:rsidR="00764DF8" w:rsidRPr="00C43543">
        <w:rPr>
          <w:szCs w:val="28"/>
          <w14:ligatures w14:val="standardContextual"/>
        </w:rPr>
        <w:t xml:space="preserve">Br. 152-53, 156. </w:t>
      </w:r>
      <w:r w:rsidRPr="00C43543">
        <w:rPr>
          <w:szCs w:val="28"/>
          <w14:ligatures w14:val="standardContextual"/>
        </w:rPr>
        <w:t xml:space="preserve">The trial court </w:t>
      </w:r>
      <w:r w:rsidRPr="00C43543">
        <w:rPr>
          <w:i/>
          <w:iCs/>
          <w:szCs w:val="28"/>
          <w14:ligatures w14:val="standardContextual"/>
        </w:rPr>
        <w:t>did not allow</w:t>
      </w:r>
      <w:r w:rsidRPr="00C43543">
        <w:rPr>
          <w:szCs w:val="28"/>
          <w14:ligatures w14:val="standardContextual"/>
        </w:rPr>
        <w:t xml:space="preserve"> the jury to award punitive damages on the construction-defect claim. </w:t>
      </w:r>
      <w:r w:rsidRPr="00C43543">
        <w:rPr>
          <w:i/>
          <w:iCs/>
          <w:szCs w:val="28"/>
          <w14:ligatures w14:val="standardContextual"/>
        </w:rPr>
        <w:t>See</w:t>
      </w:r>
      <w:r w:rsidRPr="00C43543">
        <w:rPr>
          <w:szCs w:val="28"/>
          <w14:ligatures w14:val="standardContextual"/>
        </w:rPr>
        <w:t xml:space="preserve"> CP 16549 (jury instruction on punitive damages); Tr. 4592 </w:t>
      </w:r>
      <w:r w:rsidRPr="00C43543">
        <w:rPr>
          <w:szCs w:val="28"/>
          <w14:ligatures w14:val="standardContextual"/>
        </w:rPr>
        <w:lastRenderedPageBreak/>
        <w:t>(court observing that “</w:t>
      </w:r>
      <w:proofErr w:type="spellStart"/>
      <w:r w:rsidRPr="00C43543">
        <w:rPr>
          <w:szCs w:val="28"/>
          <w14:ligatures w14:val="standardContextual"/>
        </w:rPr>
        <w:t>punitives</w:t>
      </w:r>
      <w:proofErr w:type="spellEnd"/>
      <w:r w:rsidRPr="00C43543">
        <w:rPr>
          <w:szCs w:val="28"/>
          <w14:ligatures w14:val="standardContextual"/>
        </w:rPr>
        <w:t>” could not be awarded “for construction defect”); Tr. 4594 (plaintiffs’ counsel “</w:t>
      </w:r>
      <w:proofErr w:type="spellStart"/>
      <w:r w:rsidRPr="00C43543">
        <w:rPr>
          <w:szCs w:val="28"/>
          <w14:ligatures w14:val="standardContextual"/>
        </w:rPr>
        <w:t>conced</w:t>
      </w:r>
      <w:proofErr w:type="spellEnd"/>
      <w:r w:rsidRPr="00C43543">
        <w:rPr>
          <w:szCs w:val="28"/>
          <w14:ligatures w14:val="standardContextual"/>
        </w:rPr>
        <w:t>[</w:t>
      </w:r>
      <w:proofErr w:type="spellStart"/>
      <w:r w:rsidRPr="00C43543">
        <w:rPr>
          <w:szCs w:val="28"/>
          <w14:ligatures w14:val="standardContextual"/>
        </w:rPr>
        <w:t>ing</w:t>
      </w:r>
      <w:proofErr w:type="spellEnd"/>
      <w:r w:rsidRPr="00C43543">
        <w:rPr>
          <w:szCs w:val="28"/>
          <w14:ligatures w14:val="standardContextual"/>
        </w:rPr>
        <w:t>] that I don’t think we have a punitive case . . . based on a construction defect”).</w:t>
      </w:r>
      <w:r w:rsidRPr="00C43543">
        <w:rPr>
          <w:b/>
          <w:bCs/>
          <w:color w:val="E36C0A" w:themeColor="accent6" w:themeShade="BF"/>
          <w:szCs w:val="28"/>
          <w14:ligatures w14:val="standardContextual"/>
        </w:rPr>
        <w:t xml:space="preserve"> </w:t>
      </w:r>
      <w:r w:rsidRPr="00C43543">
        <w:rPr>
          <w:szCs w:val="28"/>
          <w14:ligatures w14:val="standardContextual"/>
        </w:rPr>
        <w:t>So</w:t>
      </w:r>
      <w:r w:rsidR="00764DF8" w:rsidRPr="00C43543">
        <w:rPr>
          <w:szCs w:val="28"/>
          <w14:ligatures w14:val="standardContextual"/>
        </w:rPr>
        <w:t xml:space="preserve">, contrary to Monsanto’s assertion (at 153 n.33), </w:t>
      </w:r>
      <w:r w:rsidRPr="00C43543">
        <w:rPr>
          <w:szCs w:val="28"/>
          <w14:ligatures w14:val="standardContextual"/>
        </w:rPr>
        <w:t xml:space="preserve">there’s absolutely no way that the jury could have “tie[d] its punitive damages award” to this claim. </w:t>
      </w:r>
      <w:r w:rsidR="00764DF8" w:rsidRPr="00C43543">
        <w:rPr>
          <w:szCs w:val="28"/>
          <w14:ligatures w14:val="standardContextual"/>
        </w:rPr>
        <w:t>S</w:t>
      </w:r>
      <w:r w:rsidRPr="00C43543">
        <w:rPr>
          <w:i/>
          <w:iCs/>
          <w:szCs w:val="28"/>
          <w14:ligatures w14:val="standardContextual"/>
        </w:rPr>
        <w:t>ee</w:t>
      </w:r>
      <w:r w:rsidRPr="00C43543">
        <w:rPr>
          <w:szCs w:val="28"/>
          <w14:ligatures w14:val="standardContextual"/>
        </w:rPr>
        <w:t xml:space="preserve"> </w:t>
      </w:r>
      <w:r w:rsidRPr="00C43543">
        <w:rPr>
          <w:i/>
          <w:iCs/>
          <w:szCs w:val="28"/>
          <w14:ligatures w14:val="standardContextual"/>
        </w:rPr>
        <w:t>Coogan</w:t>
      </w:r>
      <w:r w:rsidRPr="00C43543">
        <w:rPr>
          <w:szCs w:val="28"/>
          <w14:ligatures w14:val="standardContextual"/>
        </w:rPr>
        <w:t>, 197 Wn.2d at 808</w:t>
      </w:r>
      <w:r w:rsidR="00513187" w:rsidRPr="00C43543">
        <w:rPr>
          <w:szCs w:val="28"/>
          <w14:ligatures w14:val="standardContextual"/>
        </w:rPr>
        <w:fldChar w:fldCharType="begin"/>
      </w:r>
      <w:r w:rsidR="00513187" w:rsidRPr="00C43543">
        <w:rPr>
          <w:szCs w:val="28"/>
          <w14:ligatures w14:val="standardContextual"/>
        </w:rPr>
        <w:instrText xml:space="preserve"> TA \s "Coogan v. Borg., 197 Wn. 2d 790" </w:instrText>
      </w:r>
      <w:r w:rsidR="00513187" w:rsidRPr="00C43543">
        <w:rPr>
          <w:szCs w:val="28"/>
          <w14:ligatures w14:val="standardContextual"/>
        </w:rPr>
        <w:fldChar w:fldCharType="end"/>
      </w:r>
      <w:r w:rsidRPr="00C43543">
        <w:rPr>
          <w:szCs w:val="28"/>
          <w14:ligatures w14:val="standardContextual"/>
        </w:rPr>
        <w:t xml:space="preserve"> (“[J]</w:t>
      </w:r>
      <w:proofErr w:type="spellStart"/>
      <w:r w:rsidRPr="00C43543">
        <w:rPr>
          <w:szCs w:val="28"/>
          <w14:ligatures w14:val="standardContextual"/>
        </w:rPr>
        <w:t>urors</w:t>
      </w:r>
      <w:proofErr w:type="spellEnd"/>
      <w:r w:rsidRPr="00C43543">
        <w:rPr>
          <w:szCs w:val="28"/>
          <w14:ligatures w14:val="standardContextual"/>
        </w:rPr>
        <w:t xml:space="preserve"> are presumed to follow the court’s instructions.”).</w:t>
      </w:r>
    </w:p>
    <w:p w14:paraId="068760DC" w14:textId="3B67101F" w:rsidR="00863A3B" w:rsidRPr="00C43543" w:rsidRDefault="00863A3B" w:rsidP="009E1926">
      <w:pPr>
        <w:pStyle w:val="Heading3"/>
        <w:rPr>
          <w:rFonts w:ascii="Adobe Garamond Pro" w:hAnsi="Adobe Garamond Pro"/>
          <w14:ligatures w14:val="standardContextual"/>
        </w:rPr>
      </w:pPr>
      <w:bookmarkStart w:id="78" w:name="_Toc109728362"/>
      <w:r w:rsidRPr="00C43543">
        <w:rPr>
          <w:rFonts w:ascii="Adobe Garamond Pro" w:hAnsi="Adobe Garamond Pro"/>
          <w14:ligatures w14:val="standardContextual"/>
        </w:rPr>
        <w:t>Sufficient evidence supports the jury’s finding that Monsanto’s failure to warn caused the plaintiffs’ injuries.</w:t>
      </w:r>
      <w:bookmarkEnd w:id="78"/>
    </w:p>
    <w:p w14:paraId="129B9AFC" w14:textId="761F88DA" w:rsidR="00863A3B" w:rsidRPr="00C43543" w:rsidRDefault="00863A3B" w:rsidP="00863A3B">
      <w:pPr>
        <w:pStyle w:val="BodyText"/>
        <w:rPr>
          <w:szCs w:val="28"/>
          <w14:ligatures w14:val="standardContextual"/>
        </w:rPr>
      </w:pPr>
      <w:r w:rsidRPr="00C43543">
        <w:rPr>
          <w:szCs w:val="28"/>
          <w14:ligatures w14:val="standardContextual"/>
        </w:rPr>
        <w:t>In a 1977 memorandum discussing PCBs in light ballasts, Monsanto acknowledged that “[a] lot of people would undoubtedly become very emotional—even panic—if they found out the[re] was a ‘cancer-causing’ agent hanging over their heads.” P-2531. Now faced with the consequences of its decision to conceal that information, Monsanto argues the opposite: that a warning would have made no difference and that its concealment of PCBs’ dangers, consequently, didn’t cause the plaintiffs’ injuries. Monsanto had it right the first time—and the evidence, construed most favorabl</w:t>
      </w:r>
      <w:r w:rsidR="00E454A9" w:rsidRPr="00C43543">
        <w:rPr>
          <w:szCs w:val="28"/>
          <w14:ligatures w14:val="standardContextual"/>
        </w:rPr>
        <w:t>y</w:t>
      </w:r>
      <w:r w:rsidRPr="00C43543">
        <w:rPr>
          <w:szCs w:val="28"/>
          <w14:ligatures w14:val="standardContextual"/>
        </w:rPr>
        <w:t xml:space="preserve"> to the verdict, undoubtedly supports the jury’s causation finding.</w:t>
      </w:r>
    </w:p>
    <w:p w14:paraId="76957ED3" w14:textId="69594BDD" w:rsidR="00863A3B" w:rsidRPr="00C43543" w:rsidRDefault="00863A3B" w:rsidP="00863A3B">
      <w:pPr>
        <w:pStyle w:val="BodyText"/>
        <w:rPr>
          <w:szCs w:val="28"/>
          <w14:ligatures w14:val="standardContextual"/>
        </w:rPr>
      </w:pPr>
      <w:r w:rsidRPr="00C43543">
        <w:rPr>
          <w:szCs w:val="28"/>
          <w14:ligatures w14:val="standardContextual"/>
        </w:rPr>
        <w:lastRenderedPageBreak/>
        <w:t xml:space="preserve">Start with the school district. As an initial matter, Monsanto wrongly assumes that the relevant </w:t>
      </w:r>
      <w:proofErr w:type="gramStart"/>
      <w:r w:rsidRPr="00C43543">
        <w:rPr>
          <w:szCs w:val="28"/>
          <w14:ligatures w14:val="standardContextual"/>
        </w:rPr>
        <w:t>time period</w:t>
      </w:r>
      <w:proofErr w:type="gramEnd"/>
      <w:r w:rsidRPr="00C43543">
        <w:rPr>
          <w:szCs w:val="28"/>
          <w14:ligatures w14:val="standardContextual"/>
        </w:rPr>
        <w:t xml:space="preserve"> to assess whether the district would have heeded a warning is when the school moved to Sky Valley in 2011. But a school district is always charged with fostering a safe environment for young children and their teachers, and nothing in the record suggests that the district would have introduced a toxic chemical into its </w:t>
      </w:r>
      <w:proofErr w:type="gramStart"/>
      <w:r w:rsidRPr="00C43543">
        <w:rPr>
          <w:szCs w:val="28"/>
          <w14:ligatures w14:val="standardContextual"/>
        </w:rPr>
        <w:t>brand new</w:t>
      </w:r>
      <w:proofErr w:type="gramEnd"/>
      <w:r w:rsidRPr="00C43543">
        <w:rPr>
          <w:szCs w:val="28"/>
          <w14:ligatures w14:val="standardContextual"/>
        </w:rPr>
        <w:t xml:space="preserve"> building in 196</w:t>
      </w:r>
      <w:r w:rsidR="00CF1CD4" w:rsidRPr="00C43543">
        <w:rPr>
          <w:szCs w:val="28"/>
          <w14:ligatures w14:val="standardContextual"/>
        </w:rPr>
        <w:t>8</w:t>
      </w:r>
      <w:r w:rsidRPr="00C43543">
        <w:rPr>
          <w:szCs w:val="28"/>
          <w14:ligatures w14:val="standardContextual"/>
        </w:rPr>
        <w:t xml:space="preserve"> if it had been adequately warned.</w:t>
      </w:r>
    </w:p>
    <w:p w14:paraId="602F5737" w14:textId="04474ADB" w:rsidR="00863A3B" w:rsidRPr="00C43543" w:rsidRDefault="00863A3B" w:rsidP="00863A3B">
      <w:pPr>
        <w:pStyle w:val="BodyText"/>
        <w:rPr>
          <w:color w:val="00B050"/>
          <w:szCs w:val="28"/>
          <w14:ligatures w14:val="standardContextual"/>
        </w:rPr>
      </w:pPr>
      <w:r w:rsidRPr="00C43543">
        <w:rPr>
          <w:szCs w:val="28"/>
          <w14:ligatures w14:val="standardContextual"/>
        </w:rPr>
        <w:t xml:space="preserve">Regardless, the evidence supports a reasonable inference that the school district would have heeded a warning in 2011, too. Once the district learned of the real risk of PCBs after teachers raised the alarm, Tr. 2539, it </w:t>
      </w:r>
      <w:r w:rsidR="007112A7" w:rsidRPr="00C43543">
        <w:rPr>
          <w:szCs w:val="28"/>
          <w14:ligatures w14:val="standardContextual"/>
        </w:rPr>
        <w:t>hired consultants</w:t>
      </w:r>
      <w:r w:rsidRPr="00C43543">
        <w:rPr>
          <w:szCs w:val="28"/>
          <w14:ligatures w14:val="standardContextual"/>
        </w:rPr>
        <w:t xml:space="preserve"> to conduct testing, prepare a report, and, eventually, remediate the facilities. The jury could reasonably infer from </w:t>
      </w:r>
      <w:r w:rsidR="00A518F9" w:rsidRPr="00C43543">
        <w:rPr>
          <w:szCs w:val="28"/>
          <w14:ligatures w14:val="standardContextual"/>
        </w:rPr>
        <w:t>those</w:t>
      </w:r>
      <w:r w:rsidRPr="00C43543">
        <w:rPr>
          <w:szCs w:val="28"/>
          <w14:ligatures w14:val="standardContextual"/>
        </w:rPr>
        <w:t xml:space="preserve"> endeavor</w:t>
      </w:r>
      <w:r w:rsidR="00A518F9" w:rsidRPr="00C43543">
        <w:rPr>
          <w:szCs w:val="28"/>
          <w14:ligatures w14:val="standardContextual"/>
        </w:rPr>
        <w:t>s</w:t>
      </w:r>
      <w:r w:rsidRPr="00C43543">
        <w:rPr>
          <w:szCs w:val="28"/>
          <w14:ligatures w14:val="standardContextual"/>
        </w:rPr>
        <w:t xml:space="preserve"> that, had the district been warned, it would have remediated the building before bringing in students and teachers or never moved to Sky Valley at all.</w:t>
      </w:r>
    </w:p>
    <w:p w14:paraId="1331CED9" w14:textId="23BF909C" w:rsidR="00863A3B" w:rsidRPr="00C43543" w:rsidRDefault="00863A3B" w:rsidP="00863A3B">
      <w:pPr>
        <w:pStyle w:val="BodyText"/>
        <w:rPr>
          <w:szCs w:val="28"/>
          <w14:ligatures w14:val="standardContextual"/>
        </w:rPr>
      </w:pPr>
      <w:r w:rsidRPr="00C43543">
        <w:rPr>
          <w:szCs w:val="28"/>
          <w14:ligatures w14:val="standardContextual"/>
        </w:rPr>
        <w:t xml:space="preserve">Monsanto asserts (at 157) that all of this is meaningless because the school district already knew of the dangers of PCBs in 2000. That’s </w:t>
      </w:r>
      <w:r w:rsidR="00EC39F7" w:rsidRPr="00C43543">
        <w:rPr>
          <w:szCs w:val="28"/>
          <w14:ligatures w14:val="standardContextual"/>
        </w:rPr>
        <w:t>incorrect.</w:t>
      </w:r>
      <w:r w:rsidRPr="00C43543">
        <w:rPr>
          <w:szCs w:val="28"/>
          <w14:ligatures w14:val="standardContextual"/>
        </w:rPr>
        <w:t xml:space="preserve"> Monsanto’s argument rests on the district’s knowledge of an insurance notice that reported, “[w]hen people are </w:t>
      </w:r>
      <w:r w:rsidRPr="00C43543">
        <w:rPr>
          <w:szCs w:val="28"/>
          <w14:ligatures w14:val="standardContextual"/>
        </w:rPr>
        <w:lastRenderedPageBreak/>
        <w:t>exposed to high levels they could get sick.” D-22168 at 2. This tepid notice is a far cry from warning of a “cancer causing agent” or that “inhalation will cause systemic poisoning.” The jury, given the district’s subsequent conduct, was entitled to infer that a full warning would have made a difference.</w:t>
      </w:r>
      <w:r w:rsidRPr="00C43543">
        <w:rPr>
          <w:rStyle w:val="FootnoteReference"/>
          <w:rFonts w:cs="Big Caslon Medium"/>
          <w:szCs w:val="28"/>
          <w14:ligatures w14:val="standardContextual"/>
        </w:rPr>
        <w:footnoteReference w:id="28"/>
      </w:r>
    </w:p>
    <w:p w14:paraId="386BB0DE" w14:textId="2BF190DD" w:rsidR="00863A3B" w:rsidRPr="00C43543" w:rsidRDefault="00D13F72" w:rsidP="00863A3B">
      <w:pPr>
        <w:pStyle w:val="BodyText"/>
        <w:rPr>
          <w:szCs w:val="28"/>
          <w14:ligatures w14:val="standardContextual"/>
        </w:rPr>
      </w:pPr>
      <w:r w:rsidRPr="00C43543">
        <w:rPr>
          <w:szCs w:val="28"/>
          <w14:ligatures w14:val="standardContextual"/>
        </w:rPr>
        <w:t>T</w:t>
      </w:r>
      <w:r w:rsidR="00863A3B" w:rsidRPr="00C43543">
        <w:rPr>
          <w:szCs w:val="28"/>
          <w14:ligatures w14:val="standardContextual"/>
        </w:rPr>
        <w:t xml:space="preserve">he evidence </w:t>
      </w:r>
      <w:r w:rsidRPr="00C43543">
        <w:rPr>
          <w:szCs w:val="28"/>
          <w14:ligatures w14:val="standardContextual"/>
        </w:rPr>
        <w:t xml:space="preserve">also </w:t>
      </w:r>
      <w:r w:rsidR="00863A3B" w:rsidRPr="00C43543">
        <w:rPr>
          <w:szCs w:val="28"/>
          <w14:ligatures w14:val="standardContextual"/>
        </w:rPr>
        <w:t xml:space="preserve">supports an inference that the teachers would have heeded a warning—either by demanding immediate remediation or changing jobs. Once the plaintiffs learned of the risk they faced, they took it upon themselves to seek out a fix and, eventually, left jobs they loved to avoid further health consequences. </w:t>
      </w:r>
      <w:r w:rsidR="00863A3B" w:rsidRPr="00C43543">
        <w:rPr>
          <w:color w:val="000000" w:themeColor="text1"/>
          <w:szCs w:val="28"/>
          <w14:ligatures w14:val="standardContextual"/>
        </w:rPr>
        <w:t>Tr. 3017, 3020, 3076, 3140.</w:t>
      </w:r>
      <w:r w:rsidR="00863A3B" w:rsidRPr="00C43543">
        <w:rPr>
          <w:szCs w:val="28"/>
          <w14:ligatures w14:val="standardContextual"/>
        </w:rPr>
        <w:t xml:space="preserve"> The jury could thus reasonably infer that they would have heeded a direct warning provided in advance.</w:t>
      </w:r>
    </w:p>
    <w:p w14:paraId="166CF59D" w14:textId="5912A5E0" w:rsidR="00863A3B" w:rsidRPr="00C43543" w:rsidRDefault="00863A3B" w:rsidP="00863A3B">
      <w:pPr>
        <w:pStyle w:val="BodyText"/>
        <w:rPr>
          <w:szCs w:val="28"/>
          <w14:ligatures w14:val="standardContextual"/>
        </w:rPr>
      </w:pPr>
      <w:r w:rsidRPr="00C43543">
        <w:rPr>
          <w:szCs w:val="28"/>
          <w14:ligatures w14:val="standardContextual"/>
        </w:rPr>
        <w:t xml:space="preserve">Monsanto attempts (at 158) to avoid these multiple routes to causation by characterizing the trial court’s decision upholding the verdict as applying a “heeding presumption.” But the company’s </w:t>
      </w:r>
      <w:r w:rsidRPr="00C43543">
        <w:rPr>
          <w:szCs w:val="28"/>
          <w14:ligatures w14:val="standardContextual"/>
        </w:rPr>
        <w:lastRenderedPageBreak/>
        <w:t xml:space="preserve">argument confuses an inference with a “presumption.” A heeding presumption shifts the burden to the defendant so that, even on a completely silent record, the plaintiff still wins. </w:t>
      </w:r>
      <w:r w:rsidRPr="00C43543">
        <w:rPr>
          <w:i/>
          <w:iCs/>
          <w:szCs w:val="28"/>
          <w14:ligatures w14:val="standardContextual"/>
        </w:rPr>
        <w:t>See, e.g.</w:t>
      </w:r>
      <w:r w:rsidRPr="00C43543">
        <w:rPr>
          <w:szCs w:val="28"/>
          <w14:ligatures w14:val="standardContextual"/>
        </w:rPr>
        <w:t>,</w:t>
      </w:r>
      <w:r w:rsidRPr="00C43543">
        <w:rPr>
          <w:i/>
          <w:iCs/>
          <w:szCs w:val="28"/>
          <w14:ligatures w14:val="standardContextual"/>
        </w:rPr>
        <w:t xml:space="preserve"> Raney v. Owens-Illinois, Inc.</w:t>
      </w:r>
      <w:r w:rsidRPr="00C43543">
        <w:rPr>
          <w:szCs w:val="28"/>
          <w14:ligatures w14:val="standardContextual"/>
        </w:rPr>
        <w:t>, 897 F.2d 94, 95 (2d Cir. 1990)</w:t>
      </w:r>
      <w:r w:rsidR="00513187" w:rsidRPr="00C43543">
        <w:rPr>
          <w:szCs w:val="28"/>
          <w14:ligatures w14:val="standardContextual"/>
        </w:rPr>
        <w:fldChar w:fldCharType="begin"/>
      </w:r>
      <w:r w:rsidR="00513187" w:rsidRPr="00C43543">
        <w:rPr>
          <w:szCs w:val="28"/>
          <w14:ligatures w14:val="standardContextual"/>
        </w:rPr>
        <w:instrText xml:space="preserve"> TA \l "</w:instrText>
      </w:r>
      <w:r w:rsidR="00513187" w:rsidRPr="00C43543">
        <w:rPr>
          <w:i/>
          <w:iCs/>
          <w:szCs w:val="28"/>
          <w14:ligatures w14:val="standardContextual"/>
        </w:rPr>
        <w:instrText>Raney v. Owens-Illinois, Inc.</w:instrText>
      </w:r>
      <w:r w:rsidR="00513187" w:rsidRPr="00C43543">
        <w:rPr>
          <w:szCs w:val="28"/>
          <w14:ligatures w14:val="standardContextual"/>
        </w:rPr>
        <w:instrText>,</w:instrText>
      </w:r>
      <w:r w:rsidR="00513187" w:rsidRPr="00C43543">
        <w:rPr>
          <w:szCs w:val="28"/>
          <w14:ligatures w14:val="standardContextual"/>
        </w:rPr>
        <w:br/>
        <w:instrText xml:space="preserve">897 F.2d 94 (2d Cir. 1990)" \s "Raney v. Owens-Illinois, 897 F.2d 94" \c 1 </w:instrText>
      </w:r>
      <w:r w:rsidR="00513187" w:rsidRPr="00C43543">
        <w:rPr>
          <w:szCs w:val="28"/>
          <w14:ligatures w14:val="standardContextual"/>
        </w:rPr>
        <w:fldChar w:fldCharType="end"/>
      </w:r>
      <w:r w:rsidRPr="00C43543">
        <w:rPr>
          <w:szCs w:val="28"/>
          <w14:ligatures w14:val="standardContextual"/>
        </w:rPr>
        <w:t>. An inference draws from the evidence.</w:t>
      </w:r>
    </w:p>
    <w:p w14:paraId="6D174E04" w14:textId="4447884B" w:rsidR="00863A3B" w:rsidRPr="00C43543" w:rsidRDefault="00863A3B" w:rsidP="00863A3B">
      <w:pPr>
        <w:pStyle w:val="BodyText"/>
        <w:rPr>
          <w:szCs w:val="28"/>
          <w14:ligatures w14:val="standardContextual"/>
        </w:rPr>
      </w:pPr>
      <w:r w:rsidRPr="00C43543">
        <w:rPr>
          <w:szCs w:val="28"/>
          <w14:ligatures w14:val="standardContextual"/>
        </w:rPr>
        <w:t>Here, the record provided plenty of evidence to support a finding of causation—no presumption necessary. It shows that Monsanto knew that members of the public could “panic” if they knew the risks, and that everyone owed a warning originally lacked full information and changed their conduct once they got it. Courts routinely find sufficient evidence to support causation based on similar records. Consider, for example, the Second Circuit’s decision in a case with analogous facts:</w:t>
      </w:r>
    </w:p>
    <w:p w14:paraId="3218E252" w14:textId="21C02D52" w:rsidR="00863A3B" w:rsidRPr="00C43543" w:rsidRDefault="00863A3B" w:rsidP="00863A3B">
      <w:pPr>
        <w:shd w:val="clear" w:color="auto" w:fill="FFFFFF"/>
        <w:ind w:left="720" w:right="720"/>
        <w:jc w:val="both"/>
        <w:rPr>
          <w:szCs w:val="28"/>
          <w14:ligatures w14:val="standardContextual"/>
        </w:rPr>
      </w:pPr>
      <w:r w:rsidRPr="00C43543">
        <w:rPr>
          <w:szCs w:val="28"/>
          <w14:ligatures w14:val="standardContextual"/>
        </w:rPr>
        <w:t xml:space="preserve">In this case, it was reasonable to infer that Raney would have heeded a manufacturer’s warning. There was no evidence that Raney was aware of asbestos hazards, and they were not obvious. Though everyone might not agree that an asbestos worker would have sought other employment had he been warned of asbestos hazards, a prediction as to what a worker, alerted to the hazards, would have done is generally within the range of reasonable dispute that makes matters appropriate for submission to a jury. </w:t>
      </w:r>
    </w:p>
    <w:p w14:paraId="64976B8B" w14:textId="77777777" w:rsidR="00066F2D" w:rsidRPr="00C43543" w:rsidRDefault="00066F2D" w:rsidP="00863A3B">
      <w:pPr>
        <w:shd w:val="clear" w:color="auto" w:fill="FFFFFF"/>
        <w:ind w:left="720" w:right="720"/>
        <w:jc w:val="both"/>
        <w:rPr>
          <w:szCs w:val="28"/>
          <w14:ligatures w14:val="standardContextual"/>
        </w:rPr>
      </w:pPr>
    </w:p>
    <w:p w14:paraId="057F83BB" w14:textId="1E81BA62" w:rsidR="005C1460" w:rsidRPr="00C43543" w:rsidRDefault="00863A3B" w:rsidP="00863A3B">
      <w:pPr>
        <w:pStyle w:val="BodyText"/>
        <w:ind w:firstLine="0"/>
        <w:rPr>
          <w:szCs w:val="28"/>
          <w14:ligatures w14:val="standardContextual"/>
        </w:rPr>
      </w:pPr>
      <w:r w:rsidRPr="00C43543">
        <w:rPr>
          <w:i/>
          <w:iCs/>
          <w:szCs w:val="28"/>
          <w14:ligatures w14:val="standardContextual"/>
        </w:rPr>
        <w:lastRenderedPageBreak/>
        <w:t>Raney</w:t>
      </w:r>
      <w:r w:rsidRPr="00C43543">
        <w:rPr>
          <w:szCs w:val="28"/>
          <w14:ligatures w14:val="standardContextual"/>
        </w:rPr>
        <w:t>, 897 F.2d at 96</w:t>
      </w:r>
      <w:r w:rsidR="00DD34BF" w:rsidRPr="00C43543">
        <w:rPr>
          <w:szCs w:val="28"/>
          <w14:ligatures w14:val="standardContextual"/>
        </w:rPr>
        <w:fldChar w:fldCharType="begin"/>
      </w:r>
      <w:r w:rsidR="00DD34BF" w:rsidRPr="00C43543">
        <w:rPr>
          <w:szCs w:val="28"/>
          <w14:ligatures w14:val="standardContextual"/>
        </w:rPr>
        <w:instrText xml:space="preserve"> TA \s "Raney v. Owens-Illinois, 897 F.2d 94" </w:instrText>
      </w:r>
      <w:r w:rsidR="00DD34BF"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w:t>
      </w:r>
      <w:r w:rsidRPr="00C43543">
        <w:rPr>
          <w:szCs w:val="28"/>
          <w14:ligatures w14:val="standardContextual"/>
        </w:rPr>
        <w:t xml:space="preserve"> </w:t>
      </w:r>
      <w:r w:rsidRPr="00C43543">
        <w:rPr>
          <w:i/>
          <w:iCs/>
          <w:szCs w:val="28"/>
          <w14:ligatures w14:val="standardContextual"/>
        </w:rPr>
        <w:t>Budd v. Kaiser Gypsum Co., Inc.</w:t>
      </w:r>
      <w:r w:rsidRPr="00C43543">
        <w:rPr>
          <w:szCs w:val="28"/>
          <w14:ligatures w14:val="standardContextual"/>
        </w:rPr>
        <w:t xml:space="preserve">, 21 </w:t>
      </w:r>
      <w:proofErr w:type="spellStart"/>
      <w:r w:rsidRPr="00C43543">
        <w:rPr>
          <w:szCs w:val="28"/>
          <w14:ligatures w14:val="standardContextual"/>
        </w:rPr>
        <w:t>Wn</w:t>
      </w:r>
      <w:proofErr w:type="spellEnd"/>
      <w:r w:rsidRPr="00C43543">
        <w:rPr>
          <w:szCs w:val="28"/>
          <w14:ligatures w14:val="standardContextual"/>
        </w:rPr>
        <w:t>. App. 2d 56, 75-76, 505 P.3d 120 (2022)</w:t>
      </w:r>
      <w:r w:rsidR="00DD34BF" w:rsidRPr="00C43543">
        <w:rPr>
          <w:szCs w:val="28"/>
          <w14:ligatures w14:val="standardContextual"/>
        </w:rPr>
        <w:fldChar w:fldCharType="begin"/>
      </w:r>
      <w:r w:rsidR="00DD34BF" w:rsidRPr="00C43543">
        <w:rPr>
          <w:szCs w:val="28"/>
          <w14:ligatures w14:val="standardContextual"/>
        </w:rPr>
        <w:instrText xml:space="preserve"> TA \l "</w:instrText>
      </w:r>
      <w:r w:rsidR="00DD34BF" w:rsidRPr="00C43543">
        <w:rPr>
          <w:i/>
          <w:iCs/>
          <w:szCs w:val="28"/>
          <w14:ligatures w14:val="standardContextual"/>
        </w:rPr>
        <w:instrText>Budd v. Kaiser Gypsum Co., Inc.</w:instrText>
      </w:r>
      <w:r w:rsidR="00DD34BF" w:rsidRPr="00C43543">
        <w:rPr>
          <w:szCs w:val="28"/>
          <w14:ligatures w14:val="standardContextual"/>
        </w:rPr>
        <w:instrText>,</w:instrText>
      </w:r>
      <w:r w:rsidR="00DD34BF" w:rsidRPr="00C43543">
        <w:rPr>
          <w:szCs w:val="28"/>
          <w14:ligatures w14:val="standardContextual"/>
        </w:rPr>
        <w:br/>
        <w:instrText xml:space="preserve">21 Wn. App. 2d 56, 505 P.3d 120 (2022)" \s "Budd v. Kaiser, 21 Wn. App. 2d 56" \c 1 </w:instrText>
      </w:r>
      <w:r w:rsidR="00DD34BF" w:rsidRPr="00C43543">
        <w:rPr>
          <w:szCs w:val="28"/>
          <w14:ligatures w14:val="standardContextual"/>
        </w:rPr>
        <w:fldChar w:fldCharType="end"/>
      </w:r>
      <w:r w:rsidRPr="00C43543">
        <w:rPr>
          <w:szCs w:val="28"/>
          <w14:ligatures w14:val="standardContextual"/>
        </w:rPr>
        <w:t xml:space="preserve"> (upholding failure-to-warn verdict based on inference of causation). The same result follows here</w:t>
      </w:r>
      <w:r w:rsidR="007604E3" w:rsidRPr="00C43543">
        <w:rPr>
          <w:szCs w:val="28"/>
          <w14:ligatures w14:val="standardContextual"/>
        </w:rPr>
        <w:t xml:space="preserve">. </w:t>
      </w:r>
    </w:p>
    <w:p w14:paraId="334F7B97" w14:textId="62B461D3" w:rsidR="00C00490" w:rsidRPr="00C43543" w:rsidRDefault="00C00490" w:rsidP="00FC3399">
      <w:pPr>
        <w:pStyle w:val="Heading2"/>
        <w:rPr>
          <w:rFonts w:ascii="Adobe Garamond Pro" w:hAnsi="Adobe Garamond Pro"/>
          <w14:ligatures w14:val="standardContextual"/>
        </w:rPr>
      </w:pPr>
      <w:bookmarkStart w:id="79" w:name="_Toc109728363"/>
      <w:r w:rsidRPr="00C43543">
        <w:rPr>
          <w:rFonts w:ascii="Adobe Garamond Pro" w:hAnsi="Adobe Garamond Pro"/>
          <w14:ligatures w14:val="standardContextual"/>
        </w:rPr>
        <w:t xml:space="preserve">The </w:t>
      </w:r>
      <w:r w:rsidR="00D355C4" w:rsidRPr="00C43543">
        <w:rPr>
          <w:rFonts w:ascii="Adobe Garamond Pro" w:hAnsi="Adobe Garamond Pro"/>
          <w14:ligatures w14:val="standardContextual"/>
        </w:rPr>
        <w:t>trial</w:t>
      </w:r>
      <w:r w:rsidRPr="00C43543">
        <w:rPr>
          <w:rFonts w:ascii="Adobe Garamond Pro" w:hAnsi="Adobe Garamond Pro"/>
          <w14:ligatures w14:val="standardContextual"/>
        </w:rPr>
        <w:t xml:space="preserve"> court did not abuse its discretion in admitting evidence of other teachers’ and students’ injuries and in any event, the evidence was duplicative and harmless.</w:t>
      </w:r>
      <w:bookmarkEnd w:id="79"/>
    </w:p>
    <w:p w14:paraId="7E5EBB7F" w14:textId="4C13DA19" w:rsidR="003E25E5" w:rsidRPr="00C43543" w:rsidRDefault="003E25E5" w:rsidP="003E25E5">
      <w:pPr>
        <w:pStyle w:val="BodyText"/>
        <w:rPr>
          <w:szCs w:val="28"/>
          <w14:ligatures w14:val="standardContextual"/>
        </w:rPr>
      </w:pPr>
      <w:r w:rsidRPr="00C43543">
        <w:rPr>
          <w:szCs w:val="28"/>
          <w14:ligatures w14:val="standardContextual"/>
        </w:rPr>
        <w:t xml:space="preserve">The plaintiffs weren’t alone in suffering injuries from </w:t>
      </w:r>
      <w:r w:rsidR="00EC39F7" w:rsidRPr="00C43543">
        <w:rPr>
          <w:szCs w:val="28"/>
          <w14:ligatures w14:val="standardContextual"/>
        </w:rPr>
        <w:t xml:space="preserve">PCB </w:t>
      </w:r>
      <w:r w:rsidRPr="00C43543">
        <w:rPr>
          <w:szCs w:val="28"/>
          <w14:ligatures w14:val="standardContextual"/>
        </w:rPr>
        <w:t xml:space="preserve">exposure at Sky Valley. </w:t>
      </w:r>
      <w:r w:rsidRPr="00C43543">
        <w:rPr>
          <w:color w:val="000000" w:themeColor="text1"/>
          <w:szCs w:val="28"/>
          <w14:ligatures w14:val="standardContextual"/>
        </w:rPr>
        <w:t>Over one hundred</w:t>
      </w:r>
      <w:r w:rsidRPr="00C43543">
        <w:rPr>
          <w:b/>
          <w:color w:val="000000" w:themeColor="text1"/>
          <w:szCs w:val="28"/>
          <w14:ligatures w14:val="standardContextual"/>
        </w:rPr>
        <w:t xml:space="preserve"> </w:t>
      </w:r>
      <w:r w:rsidRPr="00C43543">
        <w:rPr>
          <w:szCs w:val="28"/>
          <w14:ligatures w14:val="standardContextual"/>
        </w:rPr>
        <w:t>other students and teachers did, too. Two of the plaintiffs’ experts took this into account: Dr. Pamela Mahoney, an epidemiologist with decades of experience, examined health surveys completed by 164 of these people</w:t>
      </w:r>
      <w:r w:rsidR="00EC39F7" w:rsidRPr="00C43543">
        <w:rPr>
          <w:szCs w:val="28"/>
          <w14:ligatures w14:val="standardContextual"/>
        </w:rPr>
        <w:t>,</w:t>
      </w:r>
      <w:r w:rsidRPr="00C43543">
        <w:rPr>
          <w:szCs w:val="28"/>
          <w14:ligatures w14:val="standardContextual"/>
        </w:rPr>
        <w:t xml:space="preserve"> and Dr. </w:t>
      </w:r>
      <w:proofErr w:type="spellStart"/>
      <w:r w:rsidRPr="00C43543">
        <w:rPr>
          <w:szCs w:val="28"/>
          <w14:ligatures w14:val="standardContextual"/>
        </w:rPr>
        <w:t>Perrillo</w:t>
      </w:r>
      <w:proofErr w:type="spellEnd"/>
      <w:r w:rsidRPr="00C43543">
        <w:rPr>
          <w:szCs w:val="28"/>
          <w14:ligatures w14:val="standardContextual"/>
        </w:rPr>
        <w:t xml:space="preserve"> performed neuropsychological testing on 49 people other than the plaintiffs. To help the jury understand how they reached their conclusions, the experts testified about this evidence and how they analyzed it. </w:t>
      </w:r>
    </w:p>
    <w:p w14:paraId="134BE8BB" w14:textId="102F5B52" w:rsidR="003E25E5" w:rsidRPr="00C43543" w:rsidRDefault="003E25E5" w:rsidP="003E25E5">
      <w:pPr>
        <w:pStyle w:val="BodyText"/>
        <w:rPr>
          <w:szCs w:val="28"/>
          <w14:ligatures w14:val="standardContextual"/>
        </w:rPr>
      </w:pPr>
      <w:r w:rsidRPr="00C43543">
        <w:rPr>
          <w:szCs w:val="28"/>
          <w14:ligatures w14:val="standardContextual"/>
        </w:rPr>
        <w:t>Monsanto now argues that the trial court shouldn</w:t>
      </w:r>
      <w:r w:rsidR="0083677A" w:rsidRPr="00C43543">
        <w:rPr>
          <w:szCs w:val="28"/>
          <w14:ligatures w14:val="standardContextual"/>
        </w:rPr>
        <w:t>’</w:t>
      </w:r>
      <w:r w:rsidRPr="00C43543">
        <w:rPr>
          <w:szCs w:val="28"/>
          <w14:ligatures w14:val="standardContextual"/>
        </w:rPr>
        <w:t xml:space="preserve">t have admitted this evidence because it is not “relevant.” Common sense shows that cannot be correct: Surely, if the plaintiffs here were the only people in all of Sky Valley to claim injuries from PCBs, Monsanto wouldn’t agree that evidence of everyone else’s good </w:t>
      </w:r>
      <w:r w:rsidRPr="00C43543">
        <w:rPr>
          <w:szCs w:val="28"/>
          <w14:ligatures w14:val="standardContextual"/>
        </w:rPr>
        <w:lastRenderedPageBreak/>
        <w:t xml:space="preserve">health had no bearing on the case. </w:t>
      </w:r>
      <w:r w:rsidR="006C0171" w:rsidRPr="00C43543">
        <w:rPr>
          <w:szCs w:val="28"/>
          <w14:ligatures w14:val="standardContextual"/>
        </w:rPr>
        <w:t xml:space="preserve">In fact, Monsanto </w:t>
      </w:r>
      <w:r w:rsidR="006C0171" w:rsidRPr="00C43543">
        <w:rPr>
          <w:i/>
          <w:iCs/>
          <w:szCs w:val="28"/>
          <w14:ligatures w14:val="standardContextual"/>
        </w:rPr>
        <w:t>did</w:t>
      </w:r>
      <w:r w:rsidR="006C0171" w:rsidRPr="00C43543">
        <w:rPr>
          <w:szCs w:val="28"/>
          <w14:ligatures w14:val="standardContextual"/>
        </w:rPr>
        <w:t xml:space="preserve"> introduce evidence about the experience of workers exposed to PCBs in other settings. </w:t>
      </w:r>
      <w:r w:rsidRPr="00C43543">
        <w:rPr>
          <w:szCs w:val="28"/>
          <w14:ligatures w14:val="standardContextual"/>
        </w:rPr>
        <w:t>The rule cannot be “</w:t>
      </w:r>
      <w:r w:rsidR="00F7339C">
        <w:rPr>
          <w:szCs w:val="28"/>
          <w14:ligatures w14:val="standardContextual"/>
        </w:rPr>
        <w:t>t</w:t>
      </w:r>
      <w:r w:rsidRPr="00C43543">
        <w:rPr>
          <w:szCs w:val="28"/>
          <w14:ligatures w14:val="standardContextual"/>
        </w:rPr>
        <w:t xml:space="preserve">ails I win, heads you lose.” </w:t>
      </w:r>
      <w:r w:rsidR="006C0171" w:rsidRPr="00C43543">
        <w:rPr>
          <w:szCs w:val="28"/>
          <w14:ligatures w14:val="standardContextual"/>
        </w:rPr>
        <w:t>And e</w:t>
      </w:r>
      <w:r w:rsidRPr="00C43543">
        <w:rPr>
          <w:szCs w:val="28"/>
          <w14:ligatures w14:val="standardContextual"/>
        </w:rPr>
        <w:t>ven setting aside the multiple grounds for relevance—forming the foundation of expert opinions; providing circumstantial evidence of causation; and preventing the jury from drawing an unjustified adverse inference based on the absence of evidence—there was no possible prejudice here because the supposedly prejudicial effect Monsanto identifies was duplicative of other concededly proper evidence.</w:t>
      </w:r>
    </w:p>
    <w:p w14:paraId="622C0F7E" w14:textId="37C6948F" w:rsidR="003E25E5" w:rsidRPr="00C43543" w:rsidRDefault="003E25E5" w:rsidP="00FC3399">
      <w:pPr>
        <w:pStyle w:val="Heading3"/>
        <w:rPr>
          <w:rFonts w:ascii="Adobe Garamond Pro" w:hAnsi="Adobe Garamond Pro"/>
          <w14:ligatures w14:val="standardContextual"/>
        </w:rPr>
      </w:pPr>
      <w:bookmarkStart w:id="80" w:name="_Toc109728364"/>
      <w:r w:rsidRPr="00C43543">
        <w:rPr>
          <w:rFonts w:ascii="Adobe Garamond Pro" w:hAnsi="Adobe Garamond Pro"/>
          <w14:ligatures w14:val="standardContextual"/>
        </w:rPr>
        <w:t>The trial court did not abuse its discretion in concluding that evidence of other teachers</w:t>
      </w:r>
      <w:r w:rsidR="00E00F12" w:rsidRPr="00C43543">
        <w:rPr>
          <w:rFonts w:ascii="Adobe Garamond Pro" w:hAnsi="Adobe Garamond Pro"/>
          <w14:ligatures w14:val="standardContextual"/>
        </w:rPr>
        <w:t>’</w:t>
      </w:r>
      <w:r w:rsidRPr="00C43543">
        <w:rPr>
          <w:rFonts w:ascii="Adobe Garamond Pro" w:hAnsi="Adobe Garamond Pro"/>
          <w14:ligatures w14:val="standardContextual"/>
        </w:rPr>
        <w:t xml:space="preserve"> and students’ injuries is relevant.</w:t>
      </w:r>
      <w:bookmarkEnd w:id="80"/>
    </w:p>
    <w:p w14:paraId="4F5B5281" w14:textId="6191F496" w:rsidR="003E25E5" w:rsidRPr="00C43543" w:rsidRDefault="003E25E5" w:rsidP="003E25E5">
      <w:pPr>
        <w:pStyle w:val="BodyText"/>
        <w:rPr>
          <w:szCs w:val="28"/>
          <w14:ligatures w14:val="standardContextual"/>
        </w:rPr>
      </w:pPr>
      <w:r w:rsidRPr="00C43543">
        <w:rPr>
          <w:szCs w:val="28"/>
          <w14:ligatures w14:val="standardContextual"/>
        </w:rPr>
        <w:t>Across 2</w:t>
      </w:r>
      <w:r w:rsidR="00471DB6" w:rsidRPr="00C43543">
        <w:rPr>
          <w:szCs w:val="28"/>
          <w14:ligatures w14:val="standardContextual"/>
        </w:rPr>
        <w:t>7</w:t>
      </w:r>
      <w:r w:rsidRPr="00C43543">
        <w:rPr>
          <w:szCs w:val="28"/>
          <w14:ligatures w14:val="standardContextual"/>
        </w:rPr>
        <w:t xml:space="preserve"> pages of argument (at 159-85), Monsanto studiously </w:t>
      </w:r>
      <w:r w:rsidR="00311F52" w:rsidRPr="00C43543">
        <w:rPr>
          <w:szCs w:val="28"/>
          <w14:ligatures w14:val="standardContextual"/>
        </w:rPr>
        <w:t>ignores</w:t>
      </w:r>
      <w:r w:rsidRPr="00C43543">
        <w:rPr>
          <w:szCs w:val="28"/>
          <w14:ligatures w14:val="standardContextual"/>
        </w:rPr>
        <w:t xml:space="preserve"> the expansive definition of relevance and deferential standard of review under Washington law. Evidence is relevant if it has “any tendency to make the existence of any fact that is of consequence to the determination of the action more probable or less probable.” ER 401. And this Court will not reverse a trial court’s determination of relevance absent a “manifest abuse of discretion.” </w:t>
      </w:r>
      <w:r w:rsidRPr="00C43543">
        <w:rPr>
          <w:i/>
          <w:iCs/>
          <w:szCs w:val="28"/>
          <w14:ligatures w14:val="standardContextual"/>
        </w:rPr>
        <w:t>See, e.g.</w:t>
      </w:r>
      <w:r w:rsidRPr="00C43543">
        <w:rPr>
          <w:szCs w:val="28"/>
          <w14:ligatures w14:val="standardContextual"/>
        </w:rPr>
        <w:t xml:space="preserve">, </w:t>
      </w:r>
      <w:r w:rsidR="00E40CB3" w:rsidRPr="00C43543">
        <w:rPr>
          <w:i/>
          <w:iCs/>
          <w:szCs w:val="28"/>
          <w14:ligatures w14:val="standardContextual"/>
        </w:rPr>
        <w:t>In re</w:t>
      </w:r>
      <w:r w:rsidRPr="00C43543">
        <w:rPr>
          <w:i/>
          <w:iCs/>
          <w:szCs w:val="28"/>
          <w14:ligatures w14:val="standardContextual"/>
        </w:rPr>
        <w:t xml:space="preserve"> Welfare of </w:t>
      </w:r>
      <w:proofErr w:type="spellStart"/>
      <w:r w:rsidRPr="00C43543">
        <w:rPr>
          <w:i/>
          <w:iCs/>
          <w:szCs w:val="28"/>
          <w14:ligatures w14:val="standardContextual"/>
        </w:rPr>
        <w:t>Shope</w:t>
      </w:r>
      <w:proofErr w:type="spellEnd"/>
      <w:r w:rsidRPr="00C43543">
        <w:rPr>
          <w:szCs w:val="28"/>
          <w14:ligatures w14:val="standardContextual"/>
        </w:rPr>
        <w:t xml:space="preserve">, 23 </w:t>
      </w:r>
      <w:proofErr w:type="spellStart"/>
      <w:r w:rsidRPr="00C43543">
        <w:rPr>
          <w:szCs w:val="28"/>
          <w14:ligatures w14:val="standardContextual"/>
        </w:rPr>
        <w:t>Wn</w:t>
      </w:r>
      <w:proofErr w:type="spellEnd"/>
      <w:r w:rsidRPr="00C43543">
        <w:rPr>
          <w:szCs w:val="28"/>
          <w14:ligatures w14:val="standardContextual"/>
        </w:rPr>
        <w:t xml:space="preserve">. App. 567, 569, 596 P.2d 1361 </w:t>
      </w:r>
      <w:r w:rsidRPr="00C43543">
        <w:rPr>
          <w:szCs w:val="28"/>
          <w14:ligatures w14:val="standardContextual"/>
        </w:rPr>
        <w:lastRenderedPageBreak/>
        <w:t>(1979)</w:t>
      </w:r>
      <w:r w:rsidR="00E40CB3" w:rsidRPr="00C43543">
        <w:rPr>
          <w:szCs w:val="28"/>
          <w14:ligatures w14:val="standardContextual"/>
        </w:rPr>
        <w:fldChar w:fldCharType="begin"/>
      </w:r>
      <w:r w:rsidR="00E40CB3" w:rsidRPr="00C43543">
        <w:rPr>
          <w:szCs w:val="28"/>
          <w14:ligatures w14:val="standardContextual"/>
        </w:rPr>
        <w:instrText xml:space="preserve"> TA \l "</w:instrText>
      </w:r>
      <w:r w:rsidR="00E40CB3" w:rsidRPr="00C43543">
        <w:rPr>
          <w:i/>
          <w:iCs/>
          <w:szCs w:val="28"/>
          <w14:ligatures w14:val="standardContextual"/>
        </w:rPr>
        <w:instrText>In re Welfare of Shope</w:instrText>
      </w:r>
      <w:r w:rsidR="00E40CB3" w:rsidRPr="00C43543">
        <w:rPr>
          <w:szCs w:val="28"/>
          <w14:ligatures w14:val="standardContextual"/>
        </w:rPr>
        <w:instrText>,</w:instrText>
      </w:r>
      <w:r w:rsidR="00E40CB3" w:rsidRPr="00C43543">
        <w:rPr>
          <w:szCs w:val="28"/>
          <w14:ligatures w14:val="standardContextual"/>
        </w:rPr>
        <w:br/>
        <w:instrText xml:space="preserve">23 Wn. App. 567, 596 P.2d 1361 (1979)" \s "Welfare of Shope, 23 Wn. App. 567" \c 1 </w:instrText>
      </w:r>
      <w:r w:rsidR="00E40CB3" w:rsidRPr="00C43543">
        <w:rPr>
          <w:szCs w:val="28"/>
          <w14:ligatures w14:val="standardContextual"/>
        </w:rPr>
        <w:fldChar w:fldCharType="end"/>
      </w:r>
      <w:r w:rsidRPr="00C43543">
        <w:rPr>
          <w:szCs w:val="28"/>
          <w14:ligatures w14:val="standardContextual"/>
        </w:rPr>
        <w:t xml:space="preserve">. Under these standards, there is no plausible basis to find an abuse of discretion here. For starters, the evidence at issue was obviously relevant because it was </w:t>
      </w:r>
      <w:r w:rsidR="00311F52" w:rsidRPr="00C43543">
        <w:rPr>
          <w:szCs w:val="28"/>
          <w14:ligatures w14:val="standardContextual"/>
        </w:rPr>
        <w:t>a</w:t>
      </w:r>
      <w:r w:rsidRPr="00C43543">
        <w:rPr>
          <w:szCs w:val="28"/>
          <w14:ligatures w14:val="standardContextual"/>
        </w:rPr>
        <w:t xml:space="preserve"> central factual basis on which Dr. </w:t>
      </w:r>
      <w:proofErr w:type="spellStart"/>
      <w:r w:rsidRPr="00C43543">
        <w:rPr>
          <w:szCs w:val="28"/>
          <w14:ligatures w14:val="standardContextual"/>
        </w:rPr>
        <w:t>Perrillo</w:t>
      </w:r>
      <w:proofErr w:type="spellEnd"/>
      <w:r w:rsidRPr="00C43543">
        <w:rPr>
          <w:szCs w:val="28"/>
          <w14:ligatures w14:val="standardContextual"/>
        </w:rPr>
        <w:t xml:space="preserve"> and Dr. Mahoney relied to form expert opinions on two key issues in the case: causation and injury. </w:t>
      </w:r>
    </w:p>
    <w:p w14:paraId="7D78F0C2" w14:textId="40F8911D" w:rsidR="003E25E5" w:rsidRPr="00C43543" w:rsidRDefault="003E25E5" w:rsidP="003E25E5">
      <w:pPr>
        <w:pStyle w:val="BodyText"/>
        <w:rPr>
          <w:szCs w:val="28"/>
          <w14:ligatures w14:val="standardContextual"/>
        </w:rPr>
      </w:pPr>
      <w:r w:rsidRPr="00C43543">
        <w:rPr>
          <w:szCs w:val="28"/>
          <w14:ligatures w14:val="standardContextual"/>
        </w:rPr>
        <w:t xml:space="preserve">The evidence is also relevant because, as Monsanto recognized below, </w:t>
      </w:r>
      <w:r w:rsidR="003D3EB2" w:rsidRPr="00C43543">
        <w:rPr>
          <w:szCs w:val="28"/>
          <w14:ligatures w14:val="standardContextual"/>
        </w:rPr>
        <w:t>CP 13723</w:t>
      </w:r>
      <w:r w:rsidRPr="00C43543">
        <w:rPr>
          <w:szCs w:val="28"/>
          <w14:ligatures w14:val="standardContextual"/>
        </w:rPr>
        <w:t xml:space="preserve">, harm to non-parties is admissible if the injuries “occurred under the same or substantially similar circumstances.”  </w:t>
      </w:r>
      <w:proofErr w:type="spellStart"/>
      <w:r w:rsidRPr="00C43543">
        <w:rPr>
          <w:i/>
          <w:iCs/>
          <w:szCs w:val="28"/>
          <w14:ligatures w14:val="standardContextual"/>
        </w:rPr>
        <w:t>Toftoy</w:t>
      </w:r>
      <w:proofErr w:type="spellEnd"/>
      <w:r w:rsidRPr="00C43543">
        <w:rPr>
          <w:i/>
          <w:iCs/>
          <w:szCs w:val="28"/>
          <w14:ligatures w14:val="standardContextual"/>
        </w:rPr>
        <w:t xml:space="preserve"> v. Ocean Shores Props., Inc.</w:t>
      </w:r>
      <w:r w:rsidRPr="00C43543">
        <w:rPr>
          <w:szCs w:val="28"/>
          <w14:ligatures w14:val="standardContextual"/>
        </w:rPr>
        <w:t>, 71 Wn.2d 833, 835, 431 P.2d 212 (1967)</w:t>
      </w:r>
      <w:r w:rsidR="00C86D07" w:rsidRPr="00C43543">
        <w:rPr>
          <w:szCs w:val="28"/>
          <w14:ligatures w14:val="standardContextual"/>
        </w:rPr>
        <w:fldChar w:fldCharType="begin"/>
      </w:r>
      <w:r w:rsidR="00C86D07" w:rsidRPr="00C43543">
        <w:rPr>
          <w:szCs w:val="28"/>
          <w14:ligatures w14:val="standardContextual"/>
        </w:rPr>
        <w:instrText xml:space="preserve"> TA \l "</w:instrText>
      </w:r>
      <w:r w:rsidR="00C86D07" w:rsidRPr="00C43543">
        <w:rPr>
          <w:i/>
          <w:iCs/>
          <w:szCs w:val="28"/>
          <w14:ligatures w14:val="standardContextual"/>
        </w:rPr>
        <w:instrText>Toftoy v. Ocean Shores Properties, Inc.</w:instrText>
      </w:r>
      <w:r w:rsidR="00C86D07" w:rsidRPr="00C43543">
        <w:rPr>
          <w:szCs w:val="28"/>
          <w14:ligatures w14:val="standardContextual"/>
        </w:rPr>
        <w:instrText>,</w:instrText>
      </w:r>
      <w:r w:rsidR="00C86D07" w:rsidRPr="00C43543">
        <w:rPr>
          <w:szCs w:val="28"/>
          <w14:ligatures w14:val="standardContextual"/>
        </w:rPr>
        <w:br/>
        <w:instrText xml:space="preserve">71 Wn.2d 833, 431 P.2d 212 (1967)" \s "Toftoy v. Ocean Shores, 71 Wn.2d 833" \c 1 </w:instrText>
      </w:r>
      <w:r w:rsidR="00C86D07"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 e.g.</w:t>
      </w:r>
      <w:r w:rsidRPr="00C43543">
        <w:rPr>
          <w:szCs w:val="28"/>
          <w14:ligatures w14:val="standardContextual"/>
        </w:rPr>
        <w:t>, McCormick on Evidence § 200 (8th Ed. 2020)</w:t>
      </w:r>
      <w:r w:rsidR="00C86D07" w:rsidRPr="00C43543">
        <w:rPr>
          <w:szCs w:val="28"/>
          <w14:ligatures w14:val="standardContextual"/>
        </w:rPr>
        <w:fldChar w:fldCharType="begin"/>
      </w:r>
      <w:r w:rsidR="00C86D07" w:rsidRPr="00C43543">
        <w:rPr>
          <w:szCs w:val="28"/>
          <w14:ligatures w14:val="standardContextual"/>
        </w:rPr>
        <w:instrText xml:space="preserve"> TA \l "McCormick on Evidence, § 200 (8th Ed. 2020)" \s "McCormick on Evidence, § 200 (8th Ed. 2020)" \c 3 </w:instrText>
      </w:r>
      <w:r w:rsidR="00C86D07" w:rsidRPr="00C43543">
        <w:rPr>
          <w:szCs w:val="28"/>
          <w14:ligatures w14:val="standardContextual"/>
        </w:rPr>
        <w:fldChar w:fldCharType="end"/>
      </w:r>
      <w:r w:rsidRPr="00C43543">
        <w:rPr>
          <w:szCs w:val="28"/>
          <w14:ligatures w14:val="standardContextual"/>
        </w:rPr>
        <w:t xml:space="preserve"> (“Causation is frequently in genuine dispute, and circumstantial evidence may be of great value in pursuing this elusive issue. Thus, receptivity to evidence of similar happenings to show causation is heightened when the defendant contends that the alleged conduct could not possibly have caused the plaintiff’s injury.”); </w:t>
      </w:r>
      <w:proofErr w:type="spellStart"/>
      <w:r w:rsidRPr="00C43543">
        <w:rPr>
          <w:i/>
          <w:iCs/>
          <w:szCs w:val="28"/>
          <w14:ligatures w14:val="standardContextual"/>
        </w:rPr>
        <w:t>Kehm</w:t>
      </w:r>
      <w:proofErr w:type="spellEnd"/>
      <w:r w:rsidRPr="00C43543">
        <w:rPr>
          <w:i/>
          <w:iCs/>
          <w:szCs w:val="28"/>
          <w14:ligatures w14:val="standardContextual"/>
        </w:rPr>
        <w:t xml:space="preserve"> v. Procter &amp; Gamble Mfg. Co.</w:t>
      </w:r>
      <w:r w:rsidRPr="00C43543">
        <w:rPr>
          <w:szCs w:val="28"/>
          <w14:ligatures w14:val="standardContextual"/>
        </w:rPr>
        <w:t>, 724 F.2d 613, 618 (8th Cir. 1983)</w:t>
      </w:r>
      <w:r w:rsidR="00C86D07" w:rsidRPr="00C43543">
        <w:rPr>
          <w:szCs w:val="28"/>
          <w14:ligatures w14:val="standardContextual"/>
        </w:rPr>
        <w:fldChar w:fldCharType="begin"/>
      </w:r>
      <w:r w:rsidR="00C86D07" w:rsidRPr="00C43543">
        <w:rPr>
          <w:szCs w:val="28"/>
          <w14:ligatures w14:val="standardContextual"/>
        </w:rPr>
        <w:instrText xml:space="preserve"> TA \l "</w:instrText>
      </w:r>
      <w:r w:rsidR="00C86D07" w:rsidRPr="00C43543">
        <w:rPr>
          <w:i/>
          <w:iCs/>
          <w:szCs w:val="28"/>
          <w14:ligatures w14:val="standardContextual"/>
        </w:rPr>
        <w:instrText>Kehm v. Procter &amp; Gamble Manufacturing Co.</w:instrText>
      </w:r>
      <w:r w:rsidR="00C86D07" w:rsidRPr="00C43543">
        <w:rPr>
          <w:szCs w:val="28"/>
          <w14:ligatures w14:val="standardContextual"/>
        </w:rPr>
        <w:instrText>,</w:instrText>
      </w:r>
      <w:r w:rsidR="00C86D07" w:rsidRPr="00C43543">
        <w:rPr>
          <w:szCs w:val="28"/>
          <w14:ligatures w14:val="standardContextual"/>
        </w:rPr>
        <w:br/>
        <w:instrText xml:space="preserve">724 F.2d 613 (8th Cir. 1983)" \s "Kehm v. P&amp;G, 724 F.2d 613" \c 1 </w:instrText>
      </w:r>
      <w:r w:rsidR="00C86D07" w:rsidRPr="00C43543">
        <w:rPr>
          <w:szCs w:val="28"/>
          <w14:ligatures w14:val="standardContextual"/>
        </w:rPr>
        <w:fldChar w:fldCharType="end"/>
      </w:r>
      <w:r w:rsidRPr="00C43543">
        <w:rPr>
          <w:szCs w:val="28"/>
          <w14:ligatures w14:val="standardContextual"/>
        </w:rPr>
        <w:t xml:space="preserve"> (“Under </w:t>
      </w:r>
      <w:proofErr w:type="spellStart"/>
      <w:r w:rsidRPr="00C43543">
        <w:rPr>
          <w:szCs w:val="28"/>
          <w14:ligatures w14:val="standardContextual"/>
        </w:rPr>
        <w:t>Fed.R.Evid</w:t>
      </w:r>
      <w:proofErr w:type="spellEnd"/>
      <w:r w:rsidRPr="00C43543">
        <w:rPr>
          <w:szCs w:val="28"/>
          <w14:ligatures w14:val="standardContextual"/>
        </w:rPr>
        <w:t xml:space="preserve">. 401, evidence of similar occurrences might be relevant to . . . the lack of safety for intended uses, the standard of care, and causation.”). Here, each of the teachers and students attended the same school, during the same time, and suffered comparable </w:t>
      </w:r>
      <w:r w:rsidRPr="00C43543">
        <w:rPr>
          <w:szCs w:val="28"/>
          <w14:ligatures w14:val="standardContextual"/>
        </w:rPr>
        <w:lastRenderedPageBreak/>
        <w:t xml:space="preserve">injuries, including all 49 people Dr. </w:t>
      </w:r>
      <w:proofErr w:type="spellStart"/>
      <w:r w:rsidRPr="00C43543">
        <w:rPr>
          <w:szCs w:val="28"/>
          <w14:ligatures w14:val="standardContextual"/>
        </w:rPr>
        <w:t>Perrillo</w:t>
      </w:r>
      <w:proofErr w:type="spellEnd"/>
      <w:r w:rsidRPr="00C43543">
        <w:rPr>
          <w:szCs w:val="28"/>
          <w14:ligatures w14:val="standardContextual"/>
        </w:rPr>
        <w:t xml:space="preserve"> examined suffering from acquired brain injury. Same injury, same place, same time—no abuse of discretion.</w:t>
      </w:r>
    </w:p>
    <w:p w14:paraId="23B930C6" w14:textId="223FB738" w:rsidR="003E25E5" w:rsidRPr="00C43543" w:rsidRDefault="003E25E5" w:rsidP="003E25E5">
      <w:pPr>
        <w:pStyle w:val="BodyText"/>
        <w:rPr>
          <w:szCs w:val="28"/>
          <w14:ligatures w14:val="standardContextual"/>
        </w:rPr>
      </w:pPr>
      <w:r w:rsidRPr="00C43543">
        <w:rPr>
          <w:szCs w:val="28"/>
          <w14:ligatures w14:val="standardContextual"/>
        </w:rPr>
        <w:t xml:space="preserve">And there is yet another reason why the evidence is relevant: </w:t>
      </w:r>
      <w:r w:rsidR="00F7339C">
        <w:rPr>
          <w:szCs w:val="28"/>
          <w14:ligatures w14:val="standardContextual"/>
        </w:rPr>
        <w:t>J</w:t>
      </w:r>
      <w:r w:rsidRPr="00C43543">
        <w:rPr>
          <w:szCs w:val="28"/>
          <w14:ligatures w14:val="standardContextual"/>
        </w:rPr>
        <w:t xml:space="preserve">urors are apt to see the absence of evidence as evidence of absence. Jurors come to a case with preconceptions about what the proof will be. </w:t>
      </w:r>
      <w:r w:rsidRPr="00C43543">
        <w:rPr>
          <w:i/>
          <w:iCs/>
          <w:szCs w:val="28"/>
          <w14:ligatures w14:val="standardContextual"/>
        </w:rPr>
        <w:t>See generally Old Chief v. United States</w:t>
      </w:r>
      <w:r w:rsidRPr="00C43543">
        <w:rPr>
          <w:szCs w:val="28"/>
          <w14:ligatures w14:val="standardContextual"/>
        </w:rPr>
        <w:t>, 519 U.S. 172, 188 (1997)</w:t>
      </w:r>
      <w:r w:rsidR="00C86D07" w:rsidRPr="00C43543">
        <w:rPr>
          <w:szCs w:val="28"/>
          <w14:ligatures w14:val="standardContextual"/>
        </w:rPr>
        <w:fldChar w:fldCharType="begin"/>
      </w:r>
      <w:r w:rsidR="00C86D07" w:rsidRPr="00C43543">
        <w:rPr>
          <w:szCs w:val="28"/>
          <w14:ligatures w14:val="standardContextual"/>
        </w:rPr>
        <w:instrText xml:space="preserve"> TA \l "</w:instrText>
      </w:r>
      <w:r w:rsidR="00C86D07" w:rsidRPr="00C43543">
        <w:rPr>
          <w:i/>
          <w:iCs/>
          <w:szCs w:val="28"/>
          <w14:ligatures w14:val="standardContextual"/>
        </w:rPr>
        <w:instrText>Old Chief v. United States</w:instrText>
      </w:r>
      <w:r w:rsidR="00C86D07" w:rsidRPr="00C43543">
        <w:rPr>
          <w:szCs w:val="28"/>
          <w14:ligatures w14:val="standardContextual"/>
        </w:rPr>
        <w:instrText>,</w:instrText>
      </w:r>
      <w:r w:rsidR="00C86D07" w:rsidRPr="00C43543">
        <w:rPr>
          <w:szCs w:val="28"/>
          <w14:ligatures w14:val="standardContextual"/>
        </w:rPr>
        <w:br/>
        <w:instrText xml:space="preserve">519 U.S. 172 (1997)" \s "Old Chief v. US, 519 U.S. 172" \c 1 </w:instrText>
      </w:r>
      <w:r w:rsidR="00C86D07" w:rsidRPr="00C43543">
        <w:rPr>
          <w:szCs w:val="28"/>
          <w14:ligatures w14:val="standardContextual"/>
        </w:rPr>
        <w:fldChar w:fldCharType="end"/>
      </w:r>
      <w:r w:rsidRPr="00C43543">
        <w:rPr>
          <w:szCs w:val="28"/>
          <w14:ligatures w14:val="standardContextual"/>
        </w:rPr>
        <w:t xml:space="preserve">. When a prosecutor charges a crime that involves “using a firearm to commit an offense,” jurors expect to see a “gun in evidence.” </w:t>
      </w:r>
      <w:r w:rsidRPr="00C43543">
        <w:rPr>
          <w:i/>
          <w:iCs/>
          <w:szCs w:val="28"/>
          <w14:ligatures w14:val="standardContextual"/>
        </w:rPr>
        <w:t>Id.</w:t>
      </w:r>
      <w:r w:rsidR="00C86D07" w:rsidRPr="00C43543">
        <w:rPr>
          <w:i/>
          <w:iCs/>
          <w:szCs w:val="28"/>
          <w14:ligatures w14:val="standardContextual"/>
        </w:rPr>
        <w:fldChar w:fldCharType="begin"/>
      </w:r>
      <w:r w:rsidR="00C86D07" w:rsidRPr="00C43543">
        <w:rPr>
          <w:szCs w:val="28"/>
          <w14:ligatures w14:val="standardContextual"/>
        </w:rPr>
        <w:instrText xml:space="preserve"> TA \s "Old Chief v. US, 519 U.S. 172" </w:instrText>
      </w:r>
      <w:r w:rsidR="00C86D07" w:rsidRPr="00C43543">
        <w:rPr>
          <w:i/>
          <w:iCs/>
          <w:szCs w:val="28"/>
          <w14:ligatures w14:val="standardContextual"/>
        </w:rPr>
        <w:fldChar w:fldCharType="end"/>
      </w:r>
      <w:r w:rsidRPr="00C43543">
        <w:rPr>
          <w:szCs w:val="28"/>
          <w14:ligatures w14:val="standardContextual"/>
        </w:rPr>
        <w:t xml:space="preserve"> And when that evidence is missing, there’s a risk that jurors will “</w:t>
      </w:r>
      <w:proofErr w:type="gramStart"/>
      <w:r w:rsidRPr="00C43543">
        <w:rPr>
          <w:szCs w:val="28"/>
          <w14:ligatures w14:val="standardContextual"/>
        </w:rPr>
        <w:t>draw[</w:t>
      </w:r>
      <w:proofErr w:type="gramEnd"/>
      <w:r w:rsidRPr="00C43543">
        <w:rPr>
          <w:szCs w:val="28"/>
          <w14:ligatures w14:val="standardContextual"/>
        </w:rPr>
        <w:t xml:space="preserve">] a negative inference” that punishes the party who failed to satisfy their expectations. </w:t>
      </w:r>
      <w:r w:rsidRPr="00C43543">
        <w:rPr>
          <w:i/>
          <w:iCs/>
          <w:szCs w:val="28"/>
          <w14:ligatures w14:val="standardContextual"/>
        </w:rPr>
        <w:t>Id.</w:t>
      </w:r>
      <w:r w:rsidR="00C86D07" w:rsidRPr="00C43543">
        <w:rPr>
          <w:i/>
          <w:iCs/>
          <w:szCs w:val="28"/>
          <w14:ligatures w14:val="standardContextual"/>
        </w:rPr>
        <w:fldChar w:fldCharType="begin"/>
      </w:r>
      <w:r w:rsidR="00C86D07" w:rsidRPr="00C43543">
        <w:rPr>
          <w:szCs w:val="28"/>
          <w14:ligatures w14:val="standardContextual"/>
        </w:rPr>
        <w:instrText xml:space="preserve"> TA \s "Old Chief v. US, 519 U.S. 172" </w:instrText>
      </w:r>
      <w:r w:rsidR="00C86D07" w:rsidRPr="00C43543">
        <w:rPr>
          <w:i/>
          <w:iCs/>
          <w:szCs w:val="28"/>
          <w14:ligatures w14:val="standardContextual"/>
        </w:rPr>
        <w:fldChar w:fldCharType="end"/>
      </w:r>
      <w:r w:rsidRPr="00C43543">
        <w:rPr>
          <w:szCs w:val="28"/>
          <w14:ligatures w14:val="standardContextual"/>
        </w:rPr>
        <w:t xml:space="preserve"> (quoting </w:t>
      </w:r>
      <w:proofErr w:type="spellStart"/>
      <w:r w:rsidRPr="00C43543">
        <w:rPr>
          <w:szCs w:val="28"/>
          <w14:ligatures w14:val="standardContextual"/>
        </w:rPr>
        <w:t>Saltzburg</w:t>
      </w:r>
      <w:proofErr w:type="spellEnd"/>
      <w:r w:rsidRPr="00C43543">
        <w:rPr>
          <w:szCs w:val="28"/>
          <w14:ligatures w14:val="standardContextual"/>
        </w:rPr>
        <w:t xml:space="preserve">, </w:t>
      </w:r>
      <w:r w:rsidRPr="00C43543">
        <w:rPr>
          <w:i/>
          <w:iCs/>
          <w:szCs w:val="28"/>
          <w14:ligatures w14:val="standardContextual"/>
        </w:rPr>
        <w:t>A Special Aspect of Relevance: Countering Negative Inferences Associated with the Absence of Evidence</w:t>
      </w:r>
      <w:r w:rsidRPr="00C43543">
        <w:rPr>
          <w:szCs w:val="28"/>
          <w14:ligatures w14:val="standardContextual"/>
        </w:rPr>
        <w:t>, 66 Cal. L. Rev. 1011, 1019 (1978)</w:t>
      </w:r>
      <w:r w:rsidR="00C86D07" w:rsidRPr="00C43543">
        <w:rPr>
          <w:szCs w:val="28"/>
          <w14:ligatures w14:val="standardContextual"/>
        </w:rPr>
        <w:fldChar w:fldCharType="begin"/>
      </w:r>
      <w:r w:rsidR="00C86D07" w:rsidRPr="00C43543">
        <w:rPr>
          <w:szCs w:val="28"/>
          <w14:ligatures w14:val="standardContextual"/>
        </w:rPr>
        <w:instrText xml:space="preserve"> TA \l "Stephen A. Saltzburg,</w:instrText>
      </w:r>
      <w:r w:rsidR="00C86D07" w:rsidRPr="00C43543">
        <w:rPr>
          <w:szCs w:val="28"/>
          <w14:ligatures w14:val="standardContextual"/>
        </w:rPr>
        <w:br/>
      </w:r>
      <w:r w:rsidR="00C86D07" w:rsidRPr="00C43543">
        <w:rPr>
          <w:i/>
          <w:iCs/>
          <w:szCs w:val="28"/>
          <w14:ligatures w14:val="standardContextual"/>
        </w:rPr>
        <w:instrText>A Special Aspect of Relevance: Countering Negative Inferences Associated with the Absence of Evidence</w:instrText>
      </w:r>
      <w:r w:rsidR="00C86D07" w:rsidRPr="00C43543">
        <w:rPr>
          <w:szCs w:val="28"/>
          <w14:ligatures w14:val="standardContextual"/>
        </w:rPr>
        <w:instrText xml:space="preserve">, 66 Cal. L. Rev. 1011 (1978)" \s "Stephen A. Saltzburg, A Special Aspect of Relevance: Countering Negative Inferences Associated with the Absence of Evidence, 66 Cal. L. Rev. 1011, 1019 (1978)" \c 3 </w:instrText>
      </w:r>
      <w:r w:rsidR="00C86D07" w:rsidRPr="00C43543">
        <w:rPr>
          <w:szCs w:val="28"/>
          <w14:ligatures w14:val="standardContextual"/>
        </w:rPr>
        <w:fldChar w:fldCharType="end"/>
      </w:r>
      <w:r w:rsidRPr="00C43543">
        <w:rPr>
          <w:szCs w:val="28"/>
          <w14:ligatures w14:val="standardContextual"/>
        </w:rPr>
        <w:t xml:space="preserve">). </w:t>
      </w:r>
    </w:p>
    <w:p w14:paraId="1290DDCB" w14:textId="7D230FBD" w:rsidR="003E25E5" w:rsidRPr="00C43543" w:rsidRDefault="003E25E5" w:rsidP="003E25E5">
      <w:pPr>
        <w:pStyle w:val="BodyText"/>
        <w:rPr>
          <w:szCs w:val="28"/>
          <w14:ligatures w14:val="standardContextual"/>
        </w:rPr>
      </w:pPr>
      <w:r w:rsidRPr="00C43543">
        <w:rPr>
          <w:szCs w:val="28"/>
          <w14:ligatures w14:val="standardContextual"/>
        </w:rPr>
        <w:t xml:space="preserve">For these reasons, evidence that preempts such a negative inference is considered relevant. </w:t>
      </w:r>
      <w:r w:rsidRPr="00C43543">
        <w:rPr>
          <w:i/>
          <w:iCs/>
          <w:szCs w:val="28"/>
          <w14:ligatures w14:val="standardContextual"/>
        </w:rPr>
        <w:t>See</w:t>
      </w:r>
      <w:r w:rsidRPr="00C43543">
        <w:rPr>
          <w:szCs w:val="28"/>
          <w14:ligatures w14:val="standardContextual"/>
        </w:rPr>
        <w:t xml:space="preserve">, </w:t>
      </w:r>
      <w:r w:rsidRPr="00C43543">
        <w:rPr>
          <w:i/>
          <w:iCs/>
          <w:szCs w:val="28"/>
          <w14:ligatures w14:val="standardContextual"/>
        </w:rPr>
        <w:t>e.g.</w:t>
      </w:r>
      <w:r w:rsidRPr="00C43543">
        <w:rPr>
          <w:szCs w:val="28"/>
          <w14:ligatures w14:val="standardContextual"/>
        </w:rPr>
        <w:t xml:space="preserve">, </w:t>
      </w:r>
      <w:r w:rsidRPr="00C43543">
        <w:rPr>
          <w:i/>
          <w:iCs/>
          <w:szCs w:val="28"/>
          <w14:ligatures w14:val="standardContextual"/>
        </w:rPr>
        <w:t>United States v. Angelini</w:t>
      </w:r>
      <w:r w:rsidRPr="00C43543">
        <w:rPr>
          <w:szCs w:val="28"/>
          <w14:ligatures w14:val="standardContextual"/>
        </w:rPr>
        <w:t>, 607 F.2d 1305, 1311 (9th Cir. 1979)</w:t>
      </w:r>
      <w:r w:rsidR="00C86D07" w:rsidRPr="00C43543">
        <w:rPr>
          <w:szCs w:val="28"/>
          <w14:ligatures w14:val="standardContextual"/>
        </w:rPr>
        <w:fldChar w:fldCharType="begin"/>
      </w:r>
      <w:r w:rsidR="00C86D07" w:rsidRPr="00C43543">
        <w:rPr>
          <w:szCs w:val="28"/>
          <w14:ligatures w14:val="standardContextual"/>
        </w:rPr>
        <w:instrText xml:space="preserve"> TA \l "</w:instrText>
      </w:r>
      <w:r w:rsidR="00C86D07" w:rsidRPr="00C43543">
        <w:rPr>
          <w:i/>
          <w:iCs/>
          <w:szCs w:val="28"/>
          <w14:ligatures w14:val="standardContextual"/>
        </w:rPr>
        <w:instrText>United States v. Angelini</w:instrText>
      </w:r>
      <w:r w:rsidR="00C86D07" w:rsidRPr="00C43543">
        <w:rPr>
          <w:szCs w:val="28"/>
          <w14:ligatures w14:val="standardContextual"/>
        </w:rPr>
        <w:instrText>,</w:instrText>
      </w:r>
      <w:r w:rsidR="00C86D07" w:rsidRPr="00C43543">
        <w:rPr>
          <w:szCs w:val="28"/>
          <w14:ligatures w14:val="standardContextual"/>
        </w:rPr>
        <w:br/>
        <w:instrText xml:space="preserve">607 F.2d 1305 (9th Cir. 1979)" \s "US v. Angelini, 607 F.2d 1305" \c 1 </w:instrText>
      </w:r>
      <w:r w:rsidR="00C86D07"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Commonwealth v. Dillon</w:t>
      </w:r>
      <w:r w:rsidRPr="00C43543">
        <w:rPr>
          <w:szCs w:val="28"/>
          <w14:ligatures w14:val="standardContextual"/>
        </w:rPr>
        <w:t>, 925 A.2d 131, 13</w:t>
      </w:r>
      <w:r w:rsidR="00471DB6" w:rsidRPr="00C43543">
        <w:rPr>
          <w:szCs w:val="28"/>
          <w14:ligatures w14:val="standardContextual"/>
        </w:rPr>
        <w:t>8-3</w:t>
      </w:r>
      <w:r w:rsidRPr="00C43543">
        <w:rPr>
          <w:szCs w:val="28"/>
          <w14:ligatures w14:val="standardContextual"/>
        </w:rPr>
        <w:t>9 (Pa. 2007)</w:t>
      </w:r>
      <w:r w:rsidR="00C86D07" w:rsidRPr="00C43543">
        <w:rPr>
          <w:szCs w:val="28"/>
          <w14:ligatures w14:val="standardContextual"/>
        </w:rPr>
        <w:fldChar w:fldCharType="begin"/>
      </w:r>
      <w:r w:rsidR="00C86D07" w:rsidRPr="00C43543">
        <w:rPr>
          <w:szCs w:val="28"/>
          <w14:ligatures w14:val="standardContextual"/>
        </w:rPr>
        <w:instrText xml:space="preserve"> TA \l "</w:instrText>
      </w:r>
      <w:r w:rsidR="00C86D07" w:rsidRPr="00C43543">
        <w:rPr>
          <w:i/>
          <w:iCs/>
          <w:szCs w:val="28"/>
          <w14:ligatures w14:val="standardContextual"/>
        </w:rPr>
        <w:instrText>Commonwealth v. Dillon</w:instrText>
      </w:r>
      <w:r w:rsidR="00C86D07" w:rsidRPr="00C43543">
        <w:rPr>
          <w:szCs w:val="28"/>
          <w14:ligatures w14:val="standardContextual"/>
        </w:rPr>
        <w:instrText>,</w:instrText>
      </w:r>
      <w:r w:rsidR="00C86D07" w:rsidRPr="00C43543">
        <w:rPr>
          <w:szCs w:val="28"/>
          <w14:ligatures w14:val="standardContextual"/>
        </w:rPr>
        <w:br/>
        <w:instrText xml:space="preserve">925 A.2d 131 (Pa. 2007)" \s "Commonwealth v. Dillon, 925 A.2d 131" \c 1 </w:instrText>
      </w:r>
      <w:r w:rsidR="00C86D07"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w:t>
      </w:r>
      <w:r w:rsidRPr="00C43543">
        <w:rPr>
          <w:szCs w:val="28"/>
          <w14:ligatures w14:val="standardContextual"/>
        </w:rPr>
        <w:t xml:space="preserve"> McCormick on Evidence, </w:t>
      </w:r>
      <w:r w:rsidRPr="00C43543">
        <w:rPr>
          <w:i/>
          <w:iCs/>
          <w:szCs w:val="28"/>
          <w14:ligatures w14:val="standardContextual"/>
        </w:rPr>
        <w:t>supra</w:t>
      </w:r>
      <w:r w:rsidRPr="00C43543">
        <w:rPr>
          <w:szCs w:val="28"/>
          <w14:ligatures w14:val="standardContextual"/>
        </w:rPr>
        <w:t>, § 185</w:t>
      </w:r>
      <w:r w:rsidR="00864C97" w:rsidRPr="00C43543">
        <w:rPr>
          <w:szCs w:val="28"/>
          <w14:ligatures w14:val="standardContextual"/>
        </w:rPr>
        <w:fldChar w:fldCharType="begin"/>
      </w:r>
      <w:r w:rsidR="00864C97" w:rsidRPr="00C43543">
        <w:rPr>
          <w:szCs w:val="28"/>
          <w14:ligatures w14:val="standardContextual"/>
        </w:rPr>
        <w:instrText xml:space="preserve"> TA \s "McCormick on Evidence, § 200 (8th Ed. 2020)" </w:instrText>
      </w:r>
      <w:r w:rsidR="00864C97" w:rsidRPr="00C43543">
        <w:rPr>
          <w:szCs w:val="28"/>
          <w14:ligatures w14:val="standardContextual"/>
        </w:rPr>
        <w:fldChar w:fldCharType="end"/>
      </w:r>
      <w:r w:rsidRPr="00C43543">
        <w:rPr>
          <w:szCs w:val="28"/>
          <w14:ligatures w14:val="standardContextual"/>
        </w:rPr>
        <w:t xml:space="preserve"> (“[W]here a jury would expect to receive a certain kind of evidence, testimony explaining why that evidence is not available </w:t>
      </w:r>
      <w:r w:rsidRPr="00C43543">
        <w:rPr>
          <w:szCs w:val="28"/>
          <w14:ligatures w14:val="standardContextual"/>
        </w:rPr>
        <w:lastRenderedPageBreak/>
        <w:t xml:space="preserve">could be helpful and should be considered relevant.”). Here, the evidence of injuries to teachers and students played exactly this role, as the trial court recognized. </w:t>
      </w:r>
      <w:r w:rsidRPr="00C43543">
        <w:rPr>
          <w:color w:val="000000" w:themeColor="text1"/>
          <w:szCs w:val="28"/>
          <w14:ligatures w14:val="standardContextual"/>
        </w:rPr>
        <w:t>KRP 855</w:t>
      </w:r>
      <w:r w:rsidRPr="00C43543">
        <w:rPr>
          <w:szCs w:val="28"/>
          <w14:ligatures w14:val="standardContextual"/>
        </w:rPr>
        <w:t xml:space="preserve">. In a case involving a toxic substance in a heavily trafficked building, jurors expect to see some evidence that people other than the plaintiffs suffered injury from exposure and, in its absence, may infer that exposure levels weren’t high enough to cause injury, or that the plaintiffs didn’t really suffer the injuries they claim, or draw any number of other adverse inferences. </w:t>
      </w:r>
    </w:p>
    <w:p w14:paraId="5A99819F" w14:textId="41C0BBAA" w:rsidR="003E25E5" w:rsidRPr="00C43543" w:rsidRDefault="003E25E5" w:rsidP="003E25E5">
      <w:pPr>
        <w:pStyle w:val="BodyText"/>
        <w:rPr>
          <w:szCs w:val="28"/>
          <w14:ligatures w14:val="standardContextual"/>
        </w:rPr>
      </w:pPr>
      <w:r w:rsidRPr="00C43543">
        <w:rPr>
          <w:szCs w:val="28"/>
          <w14:ligatures w14:val="standardContextual"/>
        </w:rPr>
        <w:t xml:space="preserve">Monsanto’s argument (at 167) that it “promised” not to argue to the jury that it should draw inferences from an absence of proof doesn’t eliminate the evidence’s relevance. The jury doesn’t need Monsanto’s permission to draw an inference. That danger exists regardless of Monsanto’s opening and closing arguments. Even when an opposing party stipulates to a fact, actual evidence of that fact may still be admissible to satisfy jurors’ expectations. </w:t>
      </w:r>
      <w:r w:rsidRPr="00C43543">
        <w:rPr>
          <w:i/>
          <w:iCs/>
          <w:szCs w:val="28"/>
          <w14:ligatures w14:val="standardContextual"/>
        </w:rPr>
        <w:t>Old Chief</w:t>
      </w:r>
      <w:r w:rsidRPr="00C43543">
        <w:rPr>
          <w:szCs w:val="28"/>
          <w14:ligatures w14:val="standardContextual"/>
        </w:rPr>
        <w:t>, 519 U.S. at 188</w:t>
      </w:r>
      <w:r w:rsidR="000E44F8" w:rsidRPr="00C43543">
        <w:rPr>
          <w:szCs w:val="28"/>
          <w14:ligatures w14:val="standardContextual"/>
        </w:rPr>
        <w:fldChar w:fldCharType="begin"/>
      </w:r>
      <w:r w:rsidR="000E44F8" w:rsidRPr="00C43543">
        <w:rPr>
          <w:szCs w:val="28"/>
          <w14:ligatures w14:val="standardContextual"/>
        </w:rPr>
        <w:instrText xml:space="preserve"> TA \s "Old Chief v. US, 519 U.S. 172" </w:instrText>
      </w:r>
      <w:r w:rsidR="000E44F8" w:rsidRPr="00C43543">
        <w:rPr>
          <w:szCs w:val="28"/>
          <w14:ligatures w14:val="standardContextual"/>
        </w:rPr>
        <w:fldChar w:fldCharType="end"/>
      </w:r>
      <w:r w:rsidRPr="00C43543">
        <w:rPr>
          <w:szCs w:val="28"/>
          <w14:ligatures w14:val="standardContextual"/>
        </w:rPr>
        <w:t>. The trial court did not abuse its discretion in finding the evidence relevant on this ground either.</w:t>
      </w:r>
    </w:p>
    <w:p w14:paraId="4E0E9889" w14:textId="77777777" w:rsidR="003E25E5" w:rsidRPr="00C43543" w:rsidRDefault="003E25E5" w:rsidP="003E25E5">
      <w:pPr>
        <w:pStyle w:val="BodyText"/>
        <w:rPr>
          <w:szCs w:val="28"/>
          <w14:ligatures w14:val="standardContextual"/>
        </w:rPr>
      </w:pPr>
      <w:r w:rsidRPr="00C43543">
        <w:rPr>
          <w:szCs w:val="28"/>
          <w14:ligatures w14:val="standardContextual"/>
        </w:rPr>
        <w:t xml:space="preserve">None of this is to say that evidence of injuries to others in toxic-tort cases is always admissible. The opposing party may always </w:t>
      </w:r>
      <w:r w:rsidRPr="00C43543">
        <w:rPr>
          <w:szCs w:val="28"/>
          <w14:ligatures w14:val="standardContextual"/>
        </w:rPr>
        <w:lastRenderedPageBreak/>
        <w:t>argue that this type of evidence, even if relevant, is unfairly prejudicial. Indeed, Monsanto did so (to no avail) below. But Monsanto abandoned its argument under ER 403 on appeal—and the highly probative value of the evidence suggests why.</w:t>
      </w:r>
    </w:p>
    <w:p w14:paraId="1DEDFE54" w14:textId="499393A7" w:rsidR="00471DB6" w:rsidRPr="00C43543" w:rsidRDefault="00471DB6" w:rsidP="00471DB6">
      <w:pPr>
        <w:pStyle w:val="BodyText"/>
        <w:rPr>
          <w:szCs w:val="28"/>
          <w14:ligatures w14:val="standardContextual"/>
        </w:rPr>
      </w:pPr>
      <w:r w:rsidRPr="00C43543">
        <w:rPr>
          <w:szCs w:val="28"/>
          <w14:ligatures w14:val="standardContextual"/>
        </w:rPr>
        <w:t>Instead, Monsanto argues (at 163-64) that evidence of harm to others is per se irrelevant because proof of causation in a toxic tort case requires expert testimony. That’s puzzling. This testimony came in through experts, and it was also relied on by the plaintiff</w:t>
      </w:r>
      <w:r w:rsidR="001412EA">
        <w:rPr>
          <w:szCs w:val="28"/>
          <w14:ligatures w14:val="standardContextual"/>
        </w:rPr>
        <w:t>s’</w:t>
      </w:r>
      <w:r w:rsidRPr="00C43543">
        <w:rPr>
          <w:szCs w:val="28"/>
          <w14:ligatures w14:val="standardContextual"/>
        </w:rPr>
        <w:t xml:space="preserve"> primary causation expert, Dr. Dahlgren. </w:t>
      </w:r>
      <w:r w:rsidRPr="00C43543">
        <w:rPr>
          <w:i/>
          <w:iCs/>
          <w:szCs w:val="28"/>
          <w14:ligatures w14:val="standardContextual"/>
        </w:rPr>
        <w:t>See</w:t>
      </w:r>
      <w:r w:rsidRPr="00C43543">
        <w:rPr>
          <w:szCs w:val="28"/>
          <w14:ligatures w14:val="standardContextual"/>
        </w:rPr>
        <w:t xml:space="preserve"> Tr. 2261-62. </w:t>
      </w:r>
    </w:p>
    <w:p w14:paraId="131E8653" w14:textId="0E3E277A" w:rsidR="003E25E5" w:rsidRPr="00C43543" w:rsidRDefault="00F7339C" w:rsidP="00471DB6">
      <w:pPr>
        <w:pStyle w:val="BodyText"/>
        <w:rPr>
          <w:szCs w:val="28"/>
          <w14:ligatures w14:val="standardContextual"/>
        </w:rPr>
      </w:pPr>
      <w:r>
        <w:t xml:space="preserve">Monsanto’s theory is </w:t>
      </w:r>
      <w:r w:rsidR="00471DB6" w:rsidRPr="00C43543">
        <w:rPr>
          <w:szCs w:val="28"/>
          <w14:ligatures w14:val="standardContextual"/>
        </w:rPr>
        <w:t xml:space="preserve">also wrong. Although expert testimony may be required to prove causation in cases involving “obscure medical factors,” that doesn’t mean that non-expert evidence is </w:t>
      </w:r>
      <w:r w:rsidR="00471DB6" w:rsidRPr="00C43543">
        <w:rPr>
          <w:i/>
          <w:iCs/>
          <w:szCs w:val="28"/>
          <w14:ligatures w14:val="standardContextual"/>
        </w:rPr>
        <w:t>irrelevant</w:t>
      </w:r>
      <w:r w:rsidR="00471DB6" w:rsidRPr="00C43543">
        <w:rPr>
          <w:szCs w:val="28"/>
          <w14:ligatures w14:val="standardContextual"/>
        </w:rPr>
        <w:t xml:space="preserve">—just that, in some cases, it might not be </w:t>
      </w:r>
      <w:r w:rsidR="00471DB6" w:rsidRPr="00C43543">
        <w:rPr>
          <w:i/>
          <w:iCs/>
          <w:szCs w:val="28"/>
          <w14:ligatures w14:val="standardContextual"/>
        </w:rPr>
        <w:t>sufficient</w:t>
      </w:r>
      <w:r w:rsidR="00471DB6" w:rsidRPr="00C43543">
        <w:rPr>
          <w:szCs w:val="28"/>
          <w14:ligatures w14:val="standardContextual"/>
        </w:rPr>
        <w:t xml:space="preserve">. </w:t>
      </w:r>
      <w:r w:rsidR="00471DB6" w:rsidRPr="00C43543">
        <w:rPr>
          <w:i/>
          <w:iCs/>
          <w:szCs w:val="28"/>
          <w14:ligatures w14:val="standardContextual"/>
        </w:rPr>
        <w:t>See, e.g.</w:t>
      </w:r>
      <w:r w:rsidR="00471DB6" w:rsidRPr="00C43543">
        <w:rPr>
          <w:szCs w:val="28"/>
          <w14:ligatures w14:val="standardContextual"/>
        </w:rPr>
        <w:t>,</w:t>
      </w:r>
      <w:r w:rsidR="00471DB6" w:rsidRPr="00C43543">
        <w:rPr>
          <w:i/>
          <w:iCs/>
          <w:szCs w:val="28"/>
          <w14:ligatures w14:val="standardContextual"/>
        </w:rPr>
        <w:t xml:space="preserve"> Riggins v. Bechtel Power Corp</w:t>
      </w:r>
      <w:r w:rsidR="00471DB6" w:rsidRPr="00C43543">
        <w:rPr>
          <w:szCs w:val="28"/>
          <w14:ligatures w14:val="standardContextual"/>
        </w:rPr>
        <w:t xml:space="preserve">., 44 </w:t>
      </w:r>
      <w:proofErr w:type="spellStart"/>
      <w:r w:rsidR="00471DB6" w:rsidRPr="00C43543">
        <w:rPr>
          <w:szCs w:val="28"/>
          <w14:ligatures w14:val="standardContextual"/>
        </w:rPr>
        <w:t>Wn</w:t>
      </w:r>
      <w:proofErr w:type="spellEnd"/>
      <w:r w:rsidR="00471DB6" w:rsidRPr="00C43543">
        <w:rPr>
          <w:szCs w:val="28"/>
          <w14:ligatures w14:val="standardContextual"/>
        </w:rPr>
        <w:t>. App. 244, 254, 722 P.2d 819 (1986)</w:t>
      </w:r>
      <w:r w:rsidR="000E44F8" w:rsidRPr="00C43543">
        <w:rPr>
          <w:szCs w:val="28"/>
          <w14:ligatures w14:val="standardContextual"/>
        </w:rPr>
        <w:fldChar w:fldCharType="begin"/>
      </w:r>
      <w:r w:rsidR="000E44F8" w:rsidRPr="00C43543">
        <w:rPr>
          <w:szCs w:val="28"/>
          <w14:ligatures w14:val="standardContextual"/>
        </w:rPr>
        <w:instrText xml:space="preserve"> TA \l "</w:instrText>
      </w:r>
      <w:r w:rsidR="000E44F8" w:rsidRPr="00C43543">
        <w:rPr>
          <w:i/>
          <w:iCs/>
          <w:szCs w:val="28"/>
          <w14:ligatures w14:val="standardContextual"/>
        </w:rPr>
        <w:instrText>Riggins v. Bechtel Power Corp</w:instrText>
      </w:r>
      <w:r w:rsidR="000E44F8" w:rsidRPr="00C43543">
        <w:rPr>
          <w:szCs w:val="28"/>
          <w14:ligatures w14:val="standardContextual"/>
        </w:rPr>
        <w:instrText>.,</w:instrText>
      </w:r>
      <w:r w:rsidR="000E44F8" w:rsidRPr="00C43543">
        <w:rPr>
          <w:szCs w:val="28"/>
          <w14:ligatures w14:val="standardContextual"/>
        </w:rPr>
        <w:br/>
        <w:instrText xml:space="preserve">44 Wn. App. 244, 722 P.2d 819 (1986)" \s "Riggins v. Bechtel, 44 Wn. App. 244" \c 1 </w:instrText>
      </w:r>
      <w:r w:rsidR="000E44F8" w:rsidRPr="00C43543">
        <w:rPr>
          <w:szCs w:val="28"/>
          <w14:ligatures w14:val="standardContextual"/>
        </w:rPr>
        <w:fldChar w:fldCharType="end"/>
      </w:r>
      <w:r w:rsidR="00471DB6" w:rsidRPr="00C43543">
        <w:rPr>
          <w:szCs w:val="28"/>
          <w14:ligatures w14:val="standardContextual"/>
        </w:rPr>
        <w:t xml:space="preserve"> (“Ms. Riggins’ and her medical expert’s testimony, stating she sustained a knee injury requiring surgery, was sufficient for the jury to determine whether an injury occurred. But Ms. Riggins’ testimony as to her hip pain and headaches is, </w:t>
      </w:r>
      <w:r w:rsidR="00471DB6" w:rsidRPr="00C43543">
        <w:rPr>
          <w:i/>
          <w:iCs/>
          <w:szCs w:val="28"/>
          <w14:ligatures w14:val="standardContextual"/>
        </w:rPr>
        <w:t>standing alone</w:t>
      </w:r>
      <w:r w:rsidR="00471DB6" w:rsidRPr="00C43543">
        <w:rPr>
          <w:szCs w:val="28"/>
          <w14:ligatures w14:val="standardContextual"/>
        </w:rPr>
        <w:t>, insufficient.”) (</w:t>
      </w:r>
      <w:proofErr w:type="gramStart"/>
      <w:r w:rsidR="00471DB6" w:rsidRPr="00C43543">
        <w:rPr>
          <w:szCs w:val="28"/>
          <w14:ligatures w14:val="standardContextual"/>
        </w:rPr>
        <w:t>emphas</w:t>
      </w:r>
      <w:r>
        <w:rPr>
          <w:szCs w:val="28"/>
          <w14:ligatures w14:val="standardContextual"/>
        </w:rPr>
        <w:t>es</w:t>
      </w:r>
      <w:proofErr w:type="gramEnd"/>
      <w:r w:rsidR="00471DB6" w:rsidRPr="00C43543">
        <w:rPr>
          <w:szCs w:val="28"/>
          <w14:ligatures w14:val="standardContextual"/>
        </w:rPr>
        <w:t xml:space="preserve"> added). The rule ensures that </w:t>
      </w:r>
      <w:r w:rsidR="00E00F12" w:rsidRPr="00C43543">
        <w:rPr>
          <w:szCs w:val="28"/>
          <w14:ligatures w14:val="standardContextual"/>
        </w:rPr>
        <w:t xml:space="preserve">the </w:t>
      </w:r>
      <w:r w:rsidR="00471DB6" w:rsidRPr="00C43543">
        <w:rPr>
          <w:szCs w:val="28"/>
          <w14:ligatures w14:val="standardContextual"/>
        </w:rPr>
        <w:t xml:space="preserve">jury doesn’t rest its verdict solely on “speculation” about matters that, in </w:t>
      </w:r>
      <w:r w:rsidR="00471DB6" w:rsidRPr="00C43543">
        <w:rPr>
          <w:szCs w:val="28"/>
          <w14:ligatures w14:val="standardContextual"/>
        </w:rPr>
        <w:lastRenderedPageBreak/>
        <w:t xml:space="preserve">the absence of expert guidance, would be outside the jury’s knowledge. </w:t>
      </w:r>
      <w:r w:rsidR="00471DB6" w:rsidRPr="00C43543">
        <w:rPr>
          <w:i/>
          <w:szCs w:val="28"/>
          <w14:ligatures w14:val="standardContextual"/>
        </w:rPr>
        <w:t>Id.</w:t>
      </w:r>
      <w:r w:rsidR="000E44F8" w:rsidRPr="00C43543">
        <w:rPr>
          <w:i/>
          <w:szCs w:val="28"/>
          <w14:ligatures w14:val="standardContextual"/>
        </w:rPr>
        <w:fldChar w:fldCharType="begin"/>
      </w:r>
      <w:r w:rsidR="000E44F8" w:rsidRPr="00C43543">
        <w:rPr>
          <w:szCs w:val="28"/>
          <w14:ligatures w14:val="standardContextual"/>
        </w:rPr>
        <w:instrText xml:space="preserve"> TA \s "Old Chief v. US, 519 U.S. 172" </w:instrText>
      </w:r>
      <w:r w:rsidR="000E44F8" w:rsidRPr="00C43543">
        <w:rPr>
          <w:i/>
          <w:szCs w:val="28"/>
          <w14:ligatures w14:val="standardContextual"/>
        </w:rPr>
        <w:fldChar w:fldCharType="end"/>
      </w:r>
      <w:r w:rsidR="00471DB6" w:rsidRPr="00C43543">
        <w:rPr>
          <w:szCs w:val="28"/>
          <w14:ligatures w14:val="standardContextual"/>
        </w:rPr>
        <w:t xml:space="preserve"> But it does not mean that all other causation evidence is irrelevant. </w:t>
      </w:r>
      <w:r w:rsidR="00471DB6" w:rsidRPr="00C43543">
        <w:rPr>
          <w:i/>
          <w:iCs/>
          <w:szCs w:val="28"/>
          <w14:ligatures w14:val="standardContextual"/>
        </w:rPr>
        <w:t>See, e.g.</w:t>
      </w:r>
      <w:r w:rsidR="00471DB6" w:rsidRPr="00C43543">
        <w:rPr>
          <w:szCs w:val="28"/>
          <w14:ligatures w14:val="standardContextual"/>
        </w:rPr>
        <w:t xml:space="preserve">, </w:t>
      </w:r>
      <w:r w:rsidR="00471DB6" w:rsidRPr="00C43543">
        <w:rPr>
          <w:i/>
          <w:iCs/>
          <w:szCs w:val="28"/>
          <w14:ligatures w14:val="standardContextual"/>
        </w:rPr>
        <w:t xml:space="preserve">Bennett v. </w:t>
      </w:r>
      <w:proofErr w:type="spellStart"/>
      <w:r w:rsidR="00471DB6" w:rsidRPr="00C43543">
        <w:rPr>
          <w:i/>
          <w:iCs/>
          <w:szCs w:val="28"/>
          <w14:ligatures w14:val="standardContextual"/>
        </w:rPr>
        <w:t>Dep’t</w:t>
      </w:r>
      <w:proofErr w:type="spellEnd"/>
      <w:r w:rsidR="00471DB6" w:rsidRPr="00C43543">
        <w:rPr>
          <w:i/>
          <w:iCs/>
          <w:szCs w:val="28"/>
          <w14:ligatures w14:val="standardContextual"/>
        </w:rPr>
        <w:t xml:space="preserve"> of Lab. &amp; Indus.</w:t>
      </w:r>
      <w:r w:rsidR="00471DB6" w:rsidRPr="00C43543">
        <w:rPr>
          <w:szCs w:val="28"/>
          <w14:ligatures w14:val="standardContextual"/>
        </w:rPr>
        <w:t>, 95 Wn.2d 531, 533-35, 627 P.2d 104 (1981)</w:t>
      </w:r>
      <w:r w:rsidR="000E44F8" w:rsidRPr="00C43543">
        <w:rPr>
          <w:szCs w:val="28"/>
          <w14:ligatures w14:val="standardContextual"/>
        </w:rPr>
        <w:fldChar w:fldCharType="begin"/>
      </w:r>
      <w:r w:rsidR="000E44F8" w:rsidRPr="00C43543">
        <w:rPr>
          <w:szCs w:val="28"/>
          <w14:ligatures w14:val="standardContextual"/>
        </w:rPr>
        <w:instrText xml:space="preserve"> TA \l "</w:instrText>
      </w:r>
      <w:r w:rsidR="000E44F8" w:rsidRPr="00C43543">
        <w:rPr>
          <w:i/>
          <w:iCs/>
          <w:szCs w:val="28"/>
          <w14:ligatures w14:val="standardContextual"/>
        </w:rPr>
        <w:instrText>Bennett v. Department of Labor &amp; Industries</w:instrText>
      </w:r>
      <w:r w:rsidR="000E44F8" w:rsidRPr="00C43543">
        <w:rPr>
          <w:szCs w:val="28"/>
          <w14:ligatures w14:val="standardContextual"/>
        </w:rPr>
        <w:instrText>,</w:instrText>
      </w:r>
      <w:r w:rsidR="000E44F8" w:rsidRPr="00C43543">
        <w:rPr>
          <w:szCs w:val="28"/>
          <w14:ligatures w14:val="standardContextual"/>
        </w:rPr>
        <w:br/>
        <w:instrText xml:space="preserve">95 Wn.2d 531, 627 P.2d 104 (1981)" \s "Bennett v. Dep’t, 95 Wn.2d 531" \c 1 </w:instrText>
      </w:r>
      <w:r w:rsidR="000E44F8" w:rsidRPr="00C43543">
        <w:rPr>
          <w:szCs w:val="28"/>
          <w14:ligatures w14:val="standardContextual"/>
        </w:rPr>
        <w:fldChar w:fldCharType="end"/>
      </w:r>
      <w:r w:rsidR="00471DB6" w:rsidRPr="00C43543">
        <w:rPr>
          <w:szCs w:val="28"/>
          <w14:ligatures w14:val="standardContextual"/>
        </w:rPr>
        <w:t xml:space="preserve"> (sustaining verdict based on both expert and “lay testimony” because “if, from the facts and circumstances and the medical testimony given, a reasonable person can infer that the causal connection exists, the evidence is sufficient”)</w:t>
      </w:r>
      <w:r w:rsidR="00A27ACA" w:rsidRPr="00C43543">
        <w:rPr>
          <w:szCs w:val="28"/>
          <w14:ligatures w14:val="standardContextual"/>
        </w:rPr>
        <w:t xml:space="preserve">; </w:t>
      </w:r>
      <w:r w:rsidR="00A27ACA" w:rsidRPr="00C43543">
        <w:rPr>
          <w:i/>
          <w:iCs/>
          <w:szCs w:val="28"/>
          <w14:ligatures w14:val="standardContextual"/>
        </w:rPr>
        <w:t>see also Old Chief</w:t>
      </w:r>
      <w:r w:rsidR="00A27ACA" w:rsidRPr="00C43543">
        <w:rPr>
          <w:szCs w:val="28"/>
          <w14:ligatures w14:val="standardContextual"/>
        </w:rPr>
        <w:t>, 519 U.S. at 179</w:t>
      </w:r>
      <w:r w:rsidR="000E44F8" w:rsidRPr="00C43543">
        <w:rPr>
          <w:szCs w:val="28"/>
          <w14:ligatures w14:val="standardContextual"/>
        </w:rPr>
        <w:fldChar w:fldCharType="begin"/>
      </w:r>
      <w:r w:rsidR="000E44F8" w:rsidRPr="00C43543">
        <w:rPr>
          <w:szCs w:val="28"/>
          <w14:ligatures w14:val="standardContextual"/>
        </w:rPr>
        <w:instrText xml:space="preserve"> TA \s "Old Chief v. US, 519 U.S. 172" </w:instrText>
      </w:r>
      <w:r w:rsidR="000E44F8" w:rsidRPr="00C43543">
        <w:rPr>
          <w:szCs w:val="28"/>
          <w14:ligatures w14:val="standardContextual"/>
        </w:rPr>
        <w:fldChar w:fldCharType="end"/>
      </w:r>
      <w:r w:rsidR="00A27ACA" w:rsidRPr="00C43543">
        <w:rPr>
          <w:szCs w:val="28"/>
          <w14:ligatures w14:val="standardContextual"/>
        </w:rPr>
        <w:t xml:space="preserve"> (“evidentiary relevance under Rule 401 [is not] affected by the availability of alternative proofs”)</w:t>
      </w:r>
      <w:r w:rsidR="00471DB6" w:rsidRPr="00C43543">
        <w:rPr>
          <w:szCs w:val="28"/>
          <w14:ligatures w14:val="standardContextual"/>
        </w:rPr>
        <w:t>.</w:t>
      </w:r>
      <w:r w:rsidR="003E25E5" w:rsidRPr="00C43543">
        <w:rPr>
          <w:szCs w:val="28"/>
          <w14:ligatures w14:val="standardContextual"/>
        </w:rPr>
        <w:t xml:space="preserve"> </w:t>
      </w:r>
      <w:r w:rsidR="00442FD8" w:rsidRPr="00C43543">
        <w:rPr>
          <w:szCs w:val="28"/>
          <w14:ligatures w14:val="standardContextual"/>
        </w:rPr>
        <w:t xml:space="preserve">As </w:t>
      </w:r>
      <w:proofErr w:type="spellStart"/>
      <w:r w:rsidR="00442FD8" w:rsidRPr="00C43543">
        <w:rPr>
          <w:szCs w:val="28"/>
          <w14:ligatures w14:val="standardContextual"/>
        </w:rPr>
        <w:t>Tegland</w:t>
      </w:r>
      <w:proofErr w:type="spellEnd"/>
      <w:r w:rsidR="00442FD8" w:rsidRPr="00C43543">
        <w:rPr>
          <w:szCs w:val="28"/>
          <w14:ligatures w14:val="standardContextual"/>
        </w:rPr>
        <w:t xml:space="preserve"> explains, “[t]he test for probative value under Rule 401 should not be confused with the sufficiency of the evidence to take the case to the jury.” 5 Wash. </w:t>
      </w:r>
      <w:proofErr w:type="spellStart"/>
      <w:r w:rsidR="00442FD8" w:rsidRPr="00C43543">
        <w:rPr>
          <w:szCs w:val="28"/>
          <w14:ligatures w14:val="standardContextual"/>
        </w:rPr>
        <w:t>Prac</w:t>
      </w:r>
      <w:proofErr w:type="spellEnd"/>
      <w:r w:rsidR="00442FD8" w:rsidRPr="00C43543">
        <w:rPr>
          <w:szCs w:val="28"/>
          <w14:ligatures w14:val="standardContextual"/>
        </w:rPr>
        <w:t>., Evidence Law and Practice § 401.4 (6th ed. 2021)</w:t>
      </w:r>
      <w:r w:rsidR="00A37283" w:rsidRPr="00C43543">
        <w:rPr>
          <w:szCs w:val="28"/>
          <w14:ligatures w14:val="standardContextual"/>
        </w:rPr>
        <w:fldChar w:fldCharType="begin"/>
      </w:r>
      <w:r w:rsidR="00A37283" w:rsidRPr="00C43543">
        <w:rPr>
          <w:szCs w:val="28"/>
          <w14:ligatures w14:val="standardContextual"/>
        </w:rPr>
        <w:instrText xml:space="preserve"> TA \l "5 Washington Evidence Law and Practice § 401.4 (6th ed. 2021)" \s "5 Wash. Prac., Evidence Law and Practice § 401.4 (6th ed. 2021)" \c 3 </w:instrText>
      </w:r>
      <w:r w:rsidR="00A37283" w:rsidRPr="00C43543">
        <w:rPr>
          <w:szCs w:val="28"/>
          <w14:ligatures w14:val="standardContextual"/>
        </w:rPr>
        <w:fldChar w:fldCharType="end"/>
      </w:r>
      <w:r w:rsidR="00442FD8" w:rsidRPr="00C43543">
        <w:rPr>
          <w:szCs w:val="28"/>
          <w14:ligatures w14:val="standardContextual"/>
        </w:rPr>
        <w:t>. That is the mistake Monsanto makes here.</w:t>
      </w:r>
    </w:p>
    <w:p w14:paraId="1513E70F" w14:textId="112E8D28" w:rsidR="003E25E5" w:rsidRPr="00C43543" w:rsidRDefault="003E25E5" w:rsidP="003E25E5">
      <w:pPr>
        <w:pStyle w:val="BodyText"/>
        <w:rPr>
          <w:szCs w:val="28"/>
          <w14:ligatures w14:val="standardContextual"/>
        </w:rPr>
      </w:pPr>
      <w:r w:rsidRPr="00C43543">
        <w:rPr>
          <w:szCs w:val="28"/>
          <w14:ligatures w14:val="standardContextual"/>
        </w:rPr>
        <w:t xml:space="preserve">Monsanto also asserts (at 164-66) that evidence of harm to others is only admissible on rebuttal if the defendant opens the door by offering evidence that similarly situated people weren’t harmed. But Monsanto’s sole reported case for this proposition, </w:t>
      </w:r>
      <w:proofErr w:type="spellStart"/>
      <w:r w:rsidRPr="00C43543">
        <w:rPr>
          <w:i/>
          <w:iCs/>
          <w:szCs w:val="28"/>
          <w14:ligatures w14:val="standardContextual"/>
        </w:rPr>
        <w:t>Intalco</w:t>
      </w:r>
      <w:proofErr w:type="spellEnd"/>
      <w:r w:rsidRPr="00C43543">
        <w:rPr>
          <w:i/>
          <w:iCs/>
          <w:szCs w:val="28"/>
          <w14:ligatures w14:val="standardContextual"/>
        </w:rPr>
        <w:t xml:space="preserve"> Aluminum Corp. v. Dep</w:t>
      </w:r>
      <w:r w:rsidR="00E00F12" w:rsidRPr="00C43543">
        <w:rPr>
          <w:i/>
          <w:iCs/>
          <w:szCs w:val="28"/>
          <w14:ligatures w14:val="standardContextual"/>
        </w:rPr>
        <w:t>artment</w:t>
      </w:r>
      <w:r w:rsidRPr="00C43543">
        <w:rPr>
          <w:i/>
          <w:iCs/>
          <w:szCs w:val="28"/>
          <w14:ligatures w14:val="standardContextual"/>
        </w:rPr>
        <w:t xml:space="preserve"> of Labor and Industries</w:t>
      </w:r>
      <w:r w:rsidRPr="00C43543">
        <w:rPr>
          <w:szCs w:val="28"/>
          <w14:ligatures w14:val="standardContextual"/>
        </w:rPr>
        <w:t xml:space="preserve">, 66 </w:t>
      </w:r>
      <w:proofErr w:type="spellStart"/>
      <w:r w:rsidRPr="00C43543">
        <w:rPr>
          <w:szCs w:val="28"/>
          <w14:ligatures w14:val="standardContextual"/>
        </w:rPr>
        <w:t>Wn</w:t>
      </w:r>
      <w:proofErr w:type="spellEnd"/>
      <w:r w:rsidRPr="00C43543">
        <w:rPr>
          <w:szCs w:val="28"/>
          <w14:ligatures w14:val="standardContextual"/>
        </w:rPr>
        <w:t>. App. 644, 833 P.2d 390 (1992)</w:t>
      </w:r>
      <w:r w:rsidR="00A37283" w:rsidRPr="00C43543">
        <w:rPr>
          <w:szCs w:val="28"/>
          <w14:ligatures w14:val="standardContextual"/>
        </w:rPr>
        <w:fldChar w:fldCharType="begin"/>
      </w:r>
      <w:r w:rsidR="00A37283" w:rsidRPr="00C43543">
        <w:rPr>
          <w:szCs w:val="28"/>
          <w14:ligatures w14:val="standardContextual"/>
        </w:rPr>
        <w:instrText xml:space="preserve"> TA \s "Intalco, 66 Wash. App. 644" </w:instrText>
      </w:r>
      <w:r w:rsidR="00A37283" w:rsidRPr="00C43543">
        <w:rPr>
          <w:szCs w:val="28"/>
          <w14:ligatures w14:val="standardContextual"/>
        </w:rPr>
        <w:fldChar w:fldCharType="end"/>
      </w:r>
      <w:r w:rsidRPr="00C43543">
        <w:rPr>
          <w:szCs w:val="28"/>
          <w14:ligatures w14:val="standardContextual"/>
        </w:rPr>
        <w:t xml:space="preserve">, merely addressed the admissibility of </w:t>
      </w:r>
      <w:r w:rsidRPr="00C43543">
        <w:rPr>
          <w:szCs w:val="28"/>
          <w14:ligatures w14:val="standardContextual"/>
        </w:rPr>
        <w:lastRenderedPageBreak/>
        <w:t>non-party harms in a case where it came in as rebuttal evidence. It d</w:t>
      </w:r>
      <w:r w:rsidR="00E00F12" w:rsidRPr="00C43543">
        <w:rPr>
          <w:szCs w:val="28"/>
          <w14:ligatures w14:val="standardContextual"/>
        </w:rPr>
        <w:t>idn</w:t>
      </w:r>
      <w:r w:rsidRPr="00C43543">
        <w:rPr>
          <w:szCs w:val="28"/>
          <w14:ligatures w14:val="standardContextual"/>
        </w:rPr>
        <w:t>’t hold that injuries to non-parties are automatically irrelevant during a party’s case-in-chief.</w:t>
      </w:r>
      <w:r w:rsidRPr="00C43543">
        <w:rPr>
          <w:rStyle w:val="FootnoteReference"/>
          <w:szCs w:val="28"/>
          <w14:ligatures w14:val="standardContextual"/>
        </w:rPr>
        <w:t xml:space="preserve"> </w:t>
      </w:r>
      <w:r w:rsidRPr="00C43543">
        <w:rPr>
          <w:rStyle w:val="FootnoteReference"/>
          <w:szCs w:val="28"/>
          <w14:ligatures w14:val="standardContextual"/>
        </w:rPr>
        <w:footnoteReference w:id="29"/>
      </w:r>
      <w:r w:rsidRPr="00C43543">
        <w:rPr>
          <w:szCs w:val="28"/>
          <w14:ligatures w14:val="standardContextual"/>
        </w:rPr>
        <w:t xml:space="preserve"> And notably, though the trial court invited Monsanto to request the limiting instruction applied in </w:t>
      </w:r>
      <w:proofErr w:type="spellStart"/>
      <w:r w:rsidRPr="00C43543">
        <w:rPr>
          <w:i/>
          <w:iCs/>
          <w:szCs w:val="28"/>
          <w14:ligatures w14:val="standardContextual"/>
        </w:rPr>
        <w:t>Intalco</w:t>
      </w:r>
      <w:proofErr w:type="spellEnd"/>
      <w:r w:rsidRPr="00C43543">
        <w:rPr>
          <w:i/>
          <w:iCs/>
          <w:szCs w:val="28"/>
          <w14:ligatures w14:val="standardContextual"/>
        </w:rPr>
        <w:t xml:space="preserve"> </w:t>
      </w:r>
      <w:r w:rsidRPr="00C43543">
        <w:rPr>
          <w:szCs w:val="28"/>
          <w14:ligatures w14:val="standardContextual"/>
        </w:rPr>
        <w:t>to avoid any theoretical prejudice, KRP 855, Monsanto never did.</w:t>
      </w:r>
    </w:p>
    <w:p w14:paraId="3793FA2C" w14:textId="33FE5275" w:rsidR="003E25E5" w:rsidRPr="00C43543" w:rsidRDefault="003E25E5" w:rsidP="003E25E5">
      <w:pPr>
        <w:pStyle w:val="BodyText"/>
        <w:rPr>
          <w:szCs w:val="28"/>
          <w14:ligatures w14:val="standardContextual"/>
        </w:rPr>
      </w:pPr>
      <w:r w:rsidRPr="00C43543">
        <w:rPr>
          <w:szCs w:val="28"/>
          <w14:ligatures w14:val="standardContextual"/>
        </w:rPr>
        <w:t>A rebuttal-only rule would yield serious problems</w:t>
      </w:r>
      <w:r w:rsidR="00993E98" w:rsidRPr="00C43543">
        <w:rPr>
          <w:szCs w:val="28"/>
          <w14:ligatures w14:val="standardContextual"/>
        </w:rPr>
        <w:t>, too</w:t>
      </w:r>
      <w:r w:rsidRPr="00C43543">
        <w:rPr>
          <w:szCs w:val="28"/>
          <w14:ligatures w14:val="standardContextual"/>
        </w:rPr>
        <w:t xml:space="preserve">. It would create perverse incentives by encouraging plaintiffs not to object to defendants’ (supposedly) irrelevant evidence of non-party harms so that the plaintiffs could, in turn, get in their own irrelevant evidence. And </w:t>
      </w:r>
      <w:r w:rsidR="00EC39F7" w:rsidRPr="00C43543">
        <w:rPr>
          <w:szCs w:val="28"/>
          <w14:ligatures w14:val="standardContextual"/>
        </w:rPr>
        <w:t>such a</w:t>
      </w:r>
      <w:r w:rsidRPr="00C43543">
        <w:rPr>
          <w:szCs w:val="28"/>
          <w14:ligatures w14:val="standardContextual"/>
        </w:rPr>
        <w:t xml:space="preserve"> rule would preclude the use of epidemiological evidence in a case-in-chief, which is always based </w:t>
      </w:r>
      <w:r w:rsidRPr="00C43543">
        <w:rPr>
          <w:szCs w:val="28"/>
          <w14:ligatures w14:val="standardContextual"/>
        </w:rPr>
        <w:lastRenderedPageBreak/>
        <w:t xml:space="preserve">upon injuries to non-parties and routinely admitted. </w:t>
      </w:r>
      <w:r w:rsidRPr="00C43543">
        <w:rPr>
          <w:i/>
          <w:iCs/>
          <w:szCs w:val="28"/>
          <w14:ligatures w14:val="standardContextual"/>
        </w:rPr>
        <w:t>See, e.g.</w:t>
      </w:r>
      <w:r w:rsidRPr="00C43543">
        <w:rPr>
          <w:szCs w:val="28"/>
          <w14:ligatures w14:val="standardContextual"/>
        </w:rPr>
        <w:t xml:space="preserve">, </w:t>
      </w:r>
      <w:proofErr w:type="spellStart"/>
      <w:r w:rsidRPr="00C43543">
        <w:rPr>
          <w:i/>
          <w:iCs/>
          <w:szCs w:val="28"/>
          <w14:ligatures w14:val="standardContextual"/>
        </w:rPr>
        <w:t>Kehm</w:t>
      </w:r>
      <w:proofErr w:type="spellEnd"/>
      <w:r w:rsidRPr="00C43543">
        <w:rPr>
          <w:szCs w:val="28"/>
          <w14:ligatures w14:val="standardContextual"/>
        </w:rPr>
        <w:t>, 724 F.2d at 617</w:t>
      </w:r>
      <w:r w:rsidR="00A37283" w:rsidRPr="00C43543">
        <w:rPr>
          <w:szCs w:val="28"/>
          <w14:ligatures w14:val="standardContextual"/>
        </w:rPr>
        <w:fldChar w:fldCharType="begin"/>
      </w:r>
      <w:r w:rsidR="00A37283" w:rsidRPr="00C43543">
        <w:rPr>
          <w:szCs w:val="28"/>
          <w14:ligatures w14:val="standardContextual"/>
        </w:rPr>
        <w:instrText xml:space="preserve"> TA \s "Kehm v. P&amp;G, 724 F.2d 613" </w:instrText>
      </w:r>
      <w:r w:rsidR="00A37283" w:rsidRPr="00C43543">
        <w:rPr>
          <w:szCs w:val="28"/>
          <w14:ligatures w14:val="standardContextual"/>
        </w:rPr>
        <w:fldChar w:fldCharType="end"/>
      </w:r>
      <w:r w:rsidRPr="00C43543">
        <w:rPr>
          <w:szCs w:val="28"/>
          <w14:ligatures w14:val="standardContextual"/>
        </w:rPr>
        <w:t>.</w:t>
      </w:r>
      <w:r w:rsidRPr="00C43543">
        <w:rPr>
          <w:rStyle w:val="FootnoteReference"/>
          <w:szCs w:val="28"/>
          <w14:ligatures w14:val="standardContextual"/>
        </w:rPr>
        <w:footnoteReference w:id="30"/>
      </w:r>
    </w:p>
    <w:p w14:paraId="42F14E04" w14:textId="007CE1D3" w:rsidR="003E25E5" w:rsidRPr="00C43543" w:rsidRDefault="003E25E5" w:rsidP="00293AE5">
      <w:pPr>
        <w:pStyle w:val="BodyText"/>
        <w:rPr>
          <w:szCs w:val="28"/>
          <w14:ligatures w14:val="standardContextual"/>
        </w:rPr>
      </w:pPr>
      <w:r w:rsidRPr="00C43543">
        <w:rPr>
          <w:szCs w:val="28"/>
          <w14:ligatures w14:val="standardContextual"/>
        </w:rPr>
        <w:t>Monsanto’s argument</w:t>
      </w:r>
      <w:r w:rsidR="00293AE5" w:rsidRPr="00C43543">
        <w:rPr>
          <w:szCs w:val="28"/>
          <w14:ligatures w14:val="standardContextual"/>
        </w:rPr>
        <w:t>—</w:t>
      </w:r>
      <w:r w:rsidRPr="00C43543">
        <w:rPr>
          <w:szCs w:val="28"/>
          <w14:ligatures w14:val="standardContextual"/>
        </w:rPr>
        <w:t xml:space="preserve">that the substantially similar experience of a teacher </w:t>
      </w:r>
      <w:r w:rsidR="00293AE5" w:rsidRPr="00C43543">
        <w:rPr>
          <w:szCs w:val="28"/>
          <w14:ligatures w14:val="standardContextual"/>
        </w:rPr>
        <w:t>exposed to the same environment</w:t>
      </w:r>
      <w:r w:rsidRPr="00C43543">
        <w:rPr>
          <w:szCs w:val="28"/>
          <w14:ligatures w14:val="standardContextual"/>
        </w:rPr>
        <w:t xml:space="preserve"> is irrelevant</w:t>
      </w:r>
      <w:r w:rsidR="00293AE5" w:rsidRPr="00C43543">
        <w:rPr>
          <w:szCs w:val="28"/>
          <w14:ligatures w14:val="standardContextual"/>
        </w:rPr>
        <w:t>—</w:t>
      </w:r>
      <w:r w:rsidRPr="00C43543">
        <w:rPr>
          <w:szCs w:val="28"/>
          <w14:ligatures w14:val="standardContextual"/>
        </w:rPr>
        <w:t xml:space="preserve">is, in short, at odds with the expansive definition of relevance under ER 401, the case law, and common sense. The trial court didn’t abuse its discretion in admitting this evidence. </w:t>
      </w:r>
      <w:r w:rsidRPr="00C43543">
        <w:rPr>
          <w:b/>
          <w:bCs/>
          <w:szCs w:val="28"/>
          <w14:ligatures w14:val="standardContextual"/>
        </w:rPr>
        <w:t xml:space="preserve"> </w:t>
      </w:r>
    </w:p>
    <w:p w14:paraId="3E4AB5BC" w14:textId="77777777" w:rsidR="003E25E5" w:rsidRPr="00C43543" w:rsidRDefault="003E25E5" w:rsidP="00FC3399">
      <w:pPr>
        <w:pStyle w:val="Heading3"/>
        <w:rPr>
          <w:rFonts w:ascii="Adobe Garamond Pro" w:hAnsi="Adobe Garamond Pro"/>
          <w14:ligatures w14:val="standardContextual"/>
        </w:rPr>
      </w:pPr>
      <w:bookmarkStart w:id="81" w:name="_Toc109728365"/>
      <w:r w:rsidRPr="00C43543">
        <w:rPr>
          <w:rFonts w:ascii="Adobe Garamond Pro" w:hAnsi="Adobe Garamond Pro"/>
          <w14:ligatures w14:val="standardContextual"/>
        </w:rPr>
        <w:t>The evidence that Monsanto complains was improperly admitted was harmless.</w:t>
      </w:r>
      <w:bookmarkEnd w:id="81"/>
    </w:p>
    <w:p w14:paraId="532AD5AC" w14:textId="2361D7C2" w:rsidR="003E25E5" w:rsidRPr="00C43543" w:rsidRDefault="003E25E5" w:rsidP="003E25E5">
      <w:pPr>
        <w:pStyle w:val="BodyText"/>
        <w:rPr>
          <w:szCs w:val="28"/>
          <w14:ligatures w14:val="standardContextual"/>
        </w:rPr>
      </w:pPr>
      <w:r w:rsidRPr="00C43543">
        <w:rPr>
          <w:szCs w:val="28"/>
          <w14:ligatures w14:val="standardContextual"/>
        </w:rPr>
        <w:t>Even if Monsanto were right that the evidence at issue was irrelevant, its admission still wouldn’t warrant reversal. “[E]</w:t>
      </w:r>
      <w:proofErr w:type="spellStart"/>
      <w:r w:rsidRPr="00C43543">
        <w:rPr>
          <w:szCs w:val="28"/>
          <w14:ligatures w14:val="standardContextual"/>
        </w:rPr>
        <w:t>rror</w:t>
      </w:r>
      <w:proofErr w:type="spellEnd"/>
      <w:r w:rsidRPr="00C43543">
        <w:rPr>
          <w:szCs w:val="28"/>
          <w14:ligatures w14:val="standardContextual"/>
        </w:rPr>
        <w:t xml:space="preserve"> without prejudice is not grounds for reversal.” </w:t>
      </w:r>
      <w:r w:rsidR="00E00F12" w:rsidRPr="00C43543">
        <w:rPr>
          <w:i/>
          <w:iCs/>
          <w:szCs w:val="28"/>
          <w14:ligatures w14:val="standardContextual"/>
        </w:rPr>
        <w:t xml:space="preserve">Brown v. Spokane </w:t>
      </w:r>
      <w:proofErr w:type="spellStart"/>
      <w:r w:rsidR="00E00F12" w:rsidRPr="00C43543">
        <w:rPr>
          <w:i/>
          <w:iCs/>
          <w:szCs w:val="28"/>
          <w14:ligatures w14:val="standardContextual"/>
        </w:rPr>
        <w:t>Cnty</w:t>
      </w:r>
      <w:proofErr w:type="spellEnd"/>
      <w:r w:rsidR="00E00F12" w:rsidRPr="00C43543">
        <w:rPr>
          <w:i/>
          <w:iCs/>
          <w:szCs w:val="28"/>
          <w14:ligatures w14:val="standardContextual"/>
        </w:rPr>
        <w:t>. Fire Prot. Dist. No. 1</w:t>
      </w:r>
      <w:r w:rsidR="00E00F12" w:rsidRPr="00C43543">
        <w:rPr>
          <w:szCs w:val="28"/>
          <w14:ligatures w14:val="standardContextual"/>
        </w:rPr>
        <w:t>, 100 Wn.2d 188, 196, 668 P.2d 571 (1983)</w:t>
      </w:r>
      <w:r w:rsidR="00E00F12" w:rsidRPr="00C43543">
        <w:rPr>
          <w:szCs w:val="28"/>
          <w14:ligatures w14:val="standardContextual"/>
        </w:rPr>
        <w:fldChar w:fldCharType="begin"/>
      </w:r>
      <w:r w:rsidR="00E00F12" w:rsidRPr="00C43543">
        <w:rPr>
          <w:szCs w:val="28"/>
          <w14:ligatures w14:val="standardContextual"/>
        </w:rPr>
        <w:instrText xml:space="preserve"> TA \s "Brown v. Spokane, 100 Wn.2d 188" </w:instrText>
      </w:r>
      <w:r w:rsidR="00E00F12" w:rsidRPr="00C43543">
        <w:rPr>
          <w:szCs w:val="28"/>
          <w14:ligatures w14:val="standardContextual"/>
        </w:rPr>
        <w:fldChar w:fldCharType="end"/>
      </w:r>
      <w:r w:rsidR="00E00F12" w:rsidRPr="00C43543">
        <w:rPr>
          <w:szCs w:val="28"/>
          <w14:ligatures w14:val="standardContextual"/>
        </w:rPr>
        <w:t xml:space="preserve">. </w:t>
      </w:r>
      <w:r w:rsidR="0043383D" w:rsidRPr="00C43543">
        <w:rPr>
          <w:szCs w:val="28"/>
          <w14:ligatures w14:val="standardContextual"/>
        </w:rPr>
        <w:lastRenderedPageBreak/>
        <w:fldChar w:fldCharType="begin"/>
      </w:r>
      <w:r w:rsidR="0043383D" w:rsidRPr="00C43543">
        <w:rPr>
          <w:szCs w:val="28"/>
          <w14:ligatures w14:val="standardContextual"/>
        </w:rPr>
        <w:instrText xml:space="preserve"> TA \s "Brown v. Spokane, 100 Wn.2d 188" </w:instrText>
      </w:r>
      <w:r w:rsidR="0043383D" w:rsidRPr="00C43543">
        <w:rPr>
          <w:szCs w:val="28"/>
          <w14:ligatures w14:val="standardContextual"/>
        </w:rPr>
        <w:fldChar w:fldCharType="end"/>
      </w:r>
      <w:r w:rsidRPr="00C43543">
        <w:rPr>
          <w:szCs w:val="28"/>
          <w14:ligatures w14:val="standardContextual"/>
        </w:rPr>
        <w:t xml:space="preserve">The supposedly prejudicial effect of the evidence that Monsanto identifies was duplicative of other properly admitted evidence and, therefore, harmless. </w:t>
      </w:r>
      <w:r w:rsidRPr="00C43543">
        <w:rPr>
          <w:i/>
          <w:iCs/>
          <w:szCs w:val="28"/>
          <w14:ligatures w14:val="standardContextual"/>
        </w:rPr>
        <w:t>See id.</w:t>
      </w:r>
      <w:r w:rsidR="0043383D" w:rsidRPr="00C43543">
        <w:rPr>
          <w:i/>
          <w:iCs/>
          <w:szCs w:val="28"/>
          <w14:ligatures w14:val="standardContextual"/>
        </w:rPr>
        <w:fldChar w:fldCharType="begin"/>
      </w:r>
      <w:r w:rsidR="0043383D" w:rsidRPr="00C43543">
        <w:rPr>
          <w:szCs w:val="28"/>
          <w14:ligatures w14:val="standardContextual"/>
        </w:rPr>
        <w:instrText xml:space="preserve"> TA \s "Brown v. Spokane, 100 Wn.2d 188" </w:instrText>
      </w:r>
      <w:r w:rsidR="0043383D" w:rsidRPr="00C43543">
        <w:rPr>
          <w:i/>
          <w:iCs/>
          <w:szCs w:val="28"/>
          <w14:ligatures w14:val="standardContextual"/>
        </w:rPr>
        <w:fldChar w:fldCharType="end"/>
      </w:r>
      <w:r w:rsidRPr="00C43543">
        <w:rPr>
          <w:i/>
          <w:iCs/>
          <w:szCs w:val="28"/>
          <w14:ligatures w14:val="standardContextual"/>
        </w:rPr>
        <w:t xml:space="preserve"> </w:t>
      </w:r>
    </w:p>
    <w:p w14:paraId="2D54024D" w14:textId="77777777" w:rsidR="003E25E5" w:rsidRPr="00C43543" w:rsidRDefault="003E25E5" w:rsidP="003E25E5">
      <w:pPr>
        <w:pStyle w:val="BodyText"/>
        <w:rPr>
          <w:color w:val="E36C0A" w:themeColor="accent6" w:themeShade="BF"/>
          <w:szCs w:val="28"/>
          <w14:ligatures w14:val="standardContextual"/>
        </w:rPr>
      </w:pPr>
      <w:r w:rsidRPr="00C43543">
        <w:rPr>
          <w:szCs w:val="28"/>
          <w14:ligatures w14:val="standardContextual"/>
        </w:rPr>
        <w:t>As Monsanto readily admits (at 168), the jury heard about evidence of injuries to others from sources “to which [Monsanto] did not object.” This included evidence that “over 100 parents, teachers and children have reported illness they associate with the building,” P-2124, and that teachers specifically attributed their “health complaints” to “</w:t>
      </w:r>
      <w:proofErr w:type="gramStart"/>
      <w:r w:rsidRPr="00C43543">
        <w:rPr>
          <w:szCs w:val="28"/>
          <w14:ligatures w14:val="standardContextual"/>
        </w:rPr>
        <w:t>concern[</w:t>
      </w:r>
      <w:proofErr w:type="gramEnd"/>
      <w:r w:rsidRPr="00C43543">
        <w:rPr>
          <w:szCs w:val="28"/>
          <w14:ligatures w14:val="standardContextual"/>
        </w:rPr>
        <w:t xml:space="preserve">] about PCBs,” P-1854 at 70; Tr. 3022. The jury further learned that these complaints were sufficiently severe, numerous, and persistent that the resource-constrained school hired a consultant—an unusual and costly endeavor—to investigate the problem. Tr. 3227. </w:t>
      </w:r>
    </w:p>
    <w:p w14:paraId="3B4D9AB0" w14:textId="7B9EEDFD" w:rsidR="00CF0162" w:rsidRPr="00C43543" w:rsidRDefault="003E25E5" w:rsidP="00CF0162">
      <w:pPr>
        <w:pStyle w:val="BodyText"/>
        <w:rPr>
          <w:szCs w:val="28"/>
          <w14:ligatures w14:val="standardContextual"/>
        </w:rPr>
      </w:pPr>
      <w:r w:rsidRPr="00C43543">
        <w:rPr>
          <w:szCs w:val="28"/>
          <w14:ligatures w14:val="standardContextual"/>
        </w:rPr>
        <w:t>This evidence is fatal to Monsanto’s claim that the admission of additional evidence requires a new trial. The company stakes its claim of prejudice on speculation (at 183) that the jury’s knowledge of non-party harms created a risk of “</w:t>
      </w:r>
      <w:proofErr w:type="spellStart"/>
      <w:r w:rsidRPr="00C43543">
        <w:rPr>
          <w:szCs w:val="28"/>
          <w14:ligatures w14:val="standardContextual"/>
        </w:rPr>
        <w:t>arous</w:t>
      </w:r>
      <w:proofErr w:type="spellEnd"/>
      <w:r w:rsidRPr="00C43543">
        <w:rPr>
          <w:szCs w:val="28"/>
          <w14:ligatures w14:val="standardContextual"/>
        </w:rPr>
        <w:t>[</w:t>
      </w:r>
      <w:proofErr w:type="spellStart"/>
      <w:r w:rsidRPr="00C43543">
        <w:rPr>
          <w:szCs w:val="28"/>
          <w14:ligatures w14:val="standardContextual"/>
        </w:rPr>
        <w:t>ing</w:t>
      </w:r>
      <w:proofErr w:type="spellEnd"/>
      <w:r w:rsidRPr="00C43543">
        <w:rPr>
          <w:szCs w:val="28"/>
          <w14:ligatures w14:val="standardContextual"/>
        </w:rPr>
        <w:t>] an emotional response” and “mislead[</w:t>
      </w:r>
      <w:proofErr w:type="spellStart"/>
      <w:r w:rsidRPr="00C43543">
        <w:rPr>
          <w:szCs w:val="28"/>
          <w14:ligatures w14:val="standardContextual"/>
        </w:rPr>
        <w:t>ing</w:t>
      </w:r>
      <w:proofErr w:type="spellEnd"/>
      <w:r w:rsidRPr="00C43543">
        <w:rPr>
          <w:szCs w:val="28"/>
          <w14:ligatures w14:val="standardContextual"/>
        </w:rPr>
        <w:t xml:space="preserve">]” the jury into thinking that a significant number of other people were injured by PCB exposure without “supporting evidence.” But even if this risk—which </w:t>
      </w:r>
      <w:r w:rsidRPr="00C43543">
        <w:rPr>
          <w:szCs w:val="28"/>
          <w14:ligatures w14:val="standardContextual"/>
        </w:rPr>
        <w:lastRenderedPageBreak/>
        <w:t>Monsanto fails to substantiate—w</w:t>
      </w:r>
      <w:r w:rsidR="00316642" w:rsidRPr="00C43543">
        <w:rPr>
          <w:szCs w:val="28"/>
          <w14:ligatures w14:val="standardContextual"/>
        </w:rPr>
        <w:t>ere</w:t>
      </w:r>
      <w:r w:rsidRPr="00C43543">
        <w:rPr>
          <w:szCs w:val="28"/>
          <w14:ligatures w14:val="standardContextual"/>
        </w:rPr>
        <w:t xml:space="preserve"> real, the other admitted evidence presented the same purported problem. To see why, consider the comments made at closing argument that Monsanto contends (at 183-84) “seized” on the supposedly prejudicial effect. </w:t>
      </w:r>
      <w:r w:rsidRPr="00C43543">
        <w:rPr>
          <w:i/>
          <w:iCs/>
          <w:szCs w:val="28"/>
          <w14:ligatures w14:val="standardContextual"/>
        </w:rPr>
        <w:t>See, e.g.</w:t>
      </w:r>
      <w:r w:rsidRPr="00C43543">
        <w:rPr>
          <w:szCs w:val="28"/>
          <w14:ligatures w14:val="standardContextual"/>
        </w:rPr>
        <w:t xml:space="preserve">, Tr. 4806 (“Mr. Miller still hasn’t explained how there are so many other people who got sick in this building.”); Tr. 4807 (“And Monsanto still did not explain why all those people were ill.”). These comments could have just as easily referred to the evidence that Monsanto concedes was properly admitted. Thus, “the implication that [Monsanto] asserts caused [it] prejudice was already present through the [admissible] portion[s] of the testimony” and therefore harmless. </w:t>
      </w:r>
      <w:r w:rsidRPr="00C43543">
        <w:rPr>
          <w:i/>
          <w:iCs/>
          <w:szCs w:val="28"/>
          <w14:ligatures w14:val="standardContextual"/>
        </w:rPr>
        <w:t>State v. King</w:t>
      </w:r>
      <w:r w:rsidRPr="00C43543">
        <w:rPr>
          <w:szCs w:val="28"/>
          <w14:ligatures w14:val="standardContextual"/>
        </w:rPr>
        <w:t xml:space="preserve">, 9 </w:t>
      </w:r>
      <w:proofErr w:type="spellStart"/>
      <w:r w:rsidRPr="00C43543">
        <w:rPr>
          <w:szCs w:val="28"/>
          <w14:ligatures w14:val="standardContextual"/>
        </w:rPr>
        <w:t>Wn</w:t>
      </w:r>
      <w:proofErr w:type="spellEnd"/>
      <w:r w:rsidRPr="00C43543">
        <w:rPr>
          <w:szCs w:val="28"/>
          <w14:ligatures w14:val="standardContextual"/>
        </w:rPr>
        <w:t>. App. 2d 1012, at *1</w:t>
      </w:r>
      <w:r w:rsidR="00FA3787" w:rsidRPr="00C43543">
        <w:rPr>
          <w:szCs w:val="28"/>
          <w14:ligatures w14:val="standardContextual"/>
        </w:rPr>
        <w:t xml:space="preserve">, </w:t>
      </w:r>
      <w:r w:rsidR="00E00F12" w:rsidRPr="00C43543">
        <w:rPr>
          <w:szCs w:val="28"/>
          <w14:ligatures w14:val="standardContextual"/>
        </w:rPr>
        <w:t>*</w:t>
      </w:r>
      <w:r w:rsidR="00FA3787" w:rsidRPr="00C43543">
        <w:rPr>
          <w:szCs w:val="28"/>
          <w14:ligatures w14:val="standardContextual"/>
        </w:rPr>
        <w:t>3</w:t>
      </w:r>
      <w:r w:rsidRPr="00C43543">
        <w:rPr>
          <w:szCs w:val="28"/>
          <w14:ligatures w14:val="standardContextual"/>
        </w:rPr>
        <w:t xml:space="preserve"> (2019)</w:t>
      </w:r>
      <w:r w:rsidR="0043383D" w:rsidRPr="00C43543">
        <w:rPr>
          <w:szCs w:val="28"/>
          <w14:ligatures w14:val="standardContextual"/>
        </w:rPr>
        <w:fldChar w:fldCharType="begin"/>
      </w:r>
      <w:r w:rsidR="0043383D" w:rsidRPr="00C43543">
        <w:rPr>
          <w:szCs w:val="28"/>
          <w14:ligatures w14:val="standardContextual"/>
        </w:rPr>
        <w:instrText xml:space="preserve"> TA \l "</w:instrText>
      </w:r>
      <w:r w:rsidR="0043383D" w:rsidRPr="00C43543">
        <w:rPr>
          <w:i/>
          <w:iCs/>
          <w:szCs w:val="28"/>
          <w14:ligatures w14:val="standardContextual"/>
        </w:rPr>
        <w:instrText>State v. King</w:instrText>
      </w:r>
      <w:r w:rsidR="0043383D" w:rsidRPr="00C43543">
        <w:rPr>
          <w:szCs w:val="28"/>
          <w14:ligatures w14:val="standardContextual"/>
        </w:rPr>
        <w:instrText>,</w:instrText>
      </w:r>
      <w:r w:rsidR="0043383D" w:rsidRPr="00C43543">
        <w:rPr>
          <w:szCs w:val="28"/>
          <w14:ligatures w14:val="standardContextual"/>
        </w:rPr>
        <w:br/>
        <w:instrText xml:space="preserve">9 Wn. App. 2d 1012 (2019)" \s "State v. King, 9 Wn. App. 2d 1012" \c 1 </w:instrText>
      </w:r>
      <w:r w:rsidR="0043383D" w:rsidRPr="00C43543">
        <w:rPr>
          <w:szCs w:val="28"/>
          <w14:ligatures w14:val="standardContextual"/>
        </w:rPr>
        <w:fldChar w:fldCharType="end"/>
      </w:r>
      <w:r w:rsidR="0043383D" w:rsidRPr="00C43543">
        <w:rPr>
          <w:szCs w:val="28"/>
          <w14:ligatures w14:val="standardContextual"/>
        </w:rPr>
        <w:t xml:space="preserve"> (unpublished)</w:t>
      </w:r>
      <w:r w:rsidRPr="00C43543">
        <w:rPr>
          <w:szCs w:val="28"/>
          <w14:ligatures w14:val="standardContextual"/>
        </w:rPr>
        <w:t>.</w:t>
      </w:r>
      <w:r w:rsidR="002F2B2C" w:rsidRPr="00C43543">
        <w:rPr>
          <w:rStyle w:val="FootnoteReference"/>
          <w:szCs w:val="28"/>
          <w14:ligatures w14:val="standardContextual"/>
        </w:rPr>
        <w:footnoteReference w:id="31"/>
      </w:r>
      <w:r w:rsidR="00C00490" w:rsidRPr="00C43543">
        <w:rPr>
          <w:szCs w:val="28"/>
          <w14:ligatures w14:val="standardContextual"/>
        </w:rPr>
        <w:t xml:space="preserve"> </w:t>
      </w:r>
      <w:bookmarkStart w:id="82" w:name="_Toc105595237"/>
    </w:p>
    <w:p w14:paraId="2B34378B" w14:textId="77777777" w:rsidR="00CF0162" w:rsidRPr="00C43543" w:rsidRDefault="00CF0162" w:rsidP="00FC3399">
      <w:pPr>
        <w:pStyle w:val="Heading2"/>
        <w:rPr>
          <w:rFonts w:ascii="Adobe Garamond Pro" w:hAnsi="Adobe Garamond Pro"/>
          <w14:ligatures w14:val="standardContextual"/>
        </w:rPr>
      </w:pPr>
      <w:bookmarkStart w:id="83" w:name="_Toc109728366"/>
      <w:r w:rsidRPr="00C43543">
        <w:rPr>
          <w:rFonts w:ascii="Adobe Garamond Pro" w:hAnsi="Adobe Garamond Pro"/>
          <w14:ligatures w14:val="standardContextual"/>
        </w:rPr>
        <w:lastRenderedPageBreak/>
        <w:t>The jury’s punitive-damages awards are fully consistent with the record and the U.S. Constitution.</w:t>
      </w:r>
      <w:bookmarkEnd w:id="83"/>
    </w:p>
    <w:p w14:paraId="0D438EAA" w14:textId="77777777" w:rsidR="00CF0162" w:rsidRPr="00C43543" w:rsidRDefault="00CF0162" w:rsidP="00CF0162">
      <w:pPr>
        <w:pStyle w:val="BodyText"/>
        <w:rPr>
          <w:szCs w:val="28"/>
          <w14:ligatures w14:val="standardContextual"/>
        </w:rPr>
      </w:pPr>
      <w:r w:rsidRPr="00C43543">
        <w:rPr>
          <w:szCs w:val="28"/>
          <w14:ligatures w14:val="standardContextual"/>
        </w:rPr>
        <w:t xml:space="preserve">Monsanto’s final complaint is that the jury acted irrationally in assessing punitive damages. It argues that the punitive-damages awards lack sufficient evidence and must be vacated. And it argues, in the alternative, that the awards exceed the bounds permitted by due process and must be reduced. It is wrong on both points. </w:t>
      </w:r>
    </w:p>
    <w:p w14:paraId="73C4C7F4" w14:textId="77777777" w:rsidR="00CF0162" w:rsidRPr="00C43543" w:rsidRDefault="00CF0162" w:rsidP="00FC3399">
      <w:pPr>
        <w:pStyle w:val="Heading3"/>
        <w:rPr>
          <w:rFonts w:ascii="Adobe Garamond Pro" w:hAnsi="Adobe Garamond Pro"/>
          <w14:ligatures w14:val="standardContextual"/>
        </w:rPr>
      </w:pPr>
      <w:bookmarkStart w:id="84" w:name="_Toc109728367"/>
      <w:r w:rsidRPr="00C43543">
        <w:rPr>
          <w:rFonts w:ascii="Adobe Garamond Pro" w:hAnsi="Adobe Garamond Pro"/>
          <w14:ligatures w14:val="standardContextual"/>
        </w:rPr>
        <w:t>Monsanto has not shown that the jury’s punitive-damages awards are “completely unsupported by substantial evidence.”</w:t>
      </w:r>
      <w:bookmarkEnd w:id="84"/>
    </w:p>
    <w:p w14:paraId="5F37BE52" w14:textId="1D4E1136" w:rsidR="00CF0162" w:rsidRPr="00C43543" w:rsidRDefault="00CF0162" w:rsidP="00CF0162">
      <w:pPr>
        <w:pStyle w:val="BodyText"/>
        <w:rPr>
          <w:szCs w:val="28"/>
          <w14:ligatures w14:val="standardContextual"/>
        </w:rPr>
      </w:pPr>
      <w:r w:rsidRPr="00C43543">
        <w:rPr>
          <w:szCs w:val="28"/>
          <w14:ligatures w14:val="standardContextual"/>
        </w:rPr>
        <w:t>Missouri law allows a jury to assess punitive damages for tortious conduct if it finds by “clear and convincing”</w:t>
      </w:r>
      <w:r w:rsidR="006E2120" w:rsidRPr="00C43543">
        <w:rPr>
          <w:szCs w:val="28"/>
          <w14:ligatures w14:val="standardContextual"/>
        </w:rPr>
        <w:t xml:space="preserve"> proof</w:t>
      </w:r>
      <w:r w:rsidRPr="00C43543">
        <w:rPr>
          <w:szCs w:val="28"/>
          <w14:ligatures w14:val="standardContextual"/>
        </w:rPr>
        <w:t xml:space="preserve"> that “the defendant showed a complete indifference to or conscious disregard for the safety of others.” </w:t>
      </w:r>
      <w:r w:rsidRPr="00C43543">
        <w:rPr>
          <w:i/>
          <w:iCs/>
          <w:szCs w:val="28"/>
          <w14:ligatures w14:val="standardContextual"/>
        </w:rPr>
        <w:t>Ingham v. Johnson &amp; Johnson</w:t>
      </w:r>
      <w:r w:rsidRPr="00C43543">
        <w:rPr>
          <w:szCs w:val="28"/>
          <w14:ligatures w14:val="standardContextual"/>
        </w:rPr>
        <w:t>, 608 S.W.3d 663, 714 (Mo. Ct. App. 2020)</w:t>
      </w:r>
      <w:r w:rsidR="00C06DE6" w:rsidRPr="00C43543">
        <w:rPr>
          <w:szCs w:val="28"/>
          <w14:ligatures w14:val="standardContextual"/>
        </w:rPr>
        <w:fldChar w:fldCharType="begin"/>
      </w:r>
      <w:r w:rsidR="00C06DE6" w:rsidRPr="00C43543">
        <w:rPr>
          <w:szCs w:val="28"/>
          <w14:ligatures w14:val="standardContextual"/>
        </w:rPr>
        <w:instrText xml:space="preserve"> TA \l "</w:instrText>
      </w:r>
      <w:r w:rsidR="00C06DE6" w:rsidRPr="00C43543">
        <w:rPr>
          <w:i/>
          <w:iCs/>
          <w:szCs w:val="28"/>
          <w14:ligatures w14:val="standardContextual"/>
        </w:rPr>
        <w:instrText>Ingham v. Johnson &amp; Johnson</w:instrText>
      </w:r>
      <w:r w:rsidR="00C06DE6" w:rsidRPr="00C43543">
        <w:rPr>
          <w:szCs w:val="28"/>
          <w14:ligatures w14:val="standardContextual"/>
        </w:rPr>
        <w:instrText>,</w:instrText>
      </w:r>
      <w:r w:rsidR="00C06DE6" w:rsidRPr="00C43543">
        <w:rPr>
          <w:szCs w:val="28"/>
          <w14:ligatures w14:val="standardContextual"/>
        </w:rPr>
        <w:br/>
        <w:instrText xml:space="preserve">608 S.W.3d 663 (Mo. Ct. App. 2020)" \s "Ingham v. J&amp;J, 608 S.W.3d 663" \c 1 </w:instrText>
      </w:r>
      <w:r w:rsidR="00C06DE6" w:rsidRPr="00C43543">
        <w:rPr>
          <w:szCs w:val="28"/>
          <w14:ligatures w14:val="standardContextual"/>
        </w:rPr>
        <w:fldChar w:fldCharType="end"/>
      </w:r>
      <w:r w:rsidRPr="00C43543">
        <w:rPr>
          <w:szCs w:val="28"/>
          <w14:ligatures w14:val="standardContextual"/>
        </w:rPr>
        <w:t xml:space="preserve">; </w:t>
      </w:r>
      <w:proofErr w:type="spellStart"/>
      <w:r w:rsidRPr="00C43543">
        <w:rPr>
          <w:i/>
          <w:iCs/>
          <w:szCs w:val="28"/>
          <w14:ligatures w14:val="standardContextual"/>
        </w:rPr>
        <w:t>Poage</w:t>
      </w:r>
      <w:proofErr w:type="spellEnd"/>
      <w:r w:rsidRPr="00C43543">
        <w:rPr>
          <w:i/>
          <w:iCs/>
          <w:szCs w:val="28"/>
          <w14:ligatures w14:val="standardContextual"/>
        </w:rPr>
        <w:t xml:space="preserve"> v. Crane Co.</w:t>
      </w:r>
      <w:r w:rsidRPr="00C43543">
        <w:rPr>
          <w:szCs w:val="28"/>
          <w14:ligatures w14:val="standardContextual"/>
        </w:rPr>
        <w:t>, 523 S.W.3d 496, 515 (Mo. Ct. App. 2017)</w:t>
      </w:r>
      <w:r w:rsidR="00C06DE6" w:rsidRPr="00C43543">
        <w:rPr>
          <w:szCs w:val="28"/>
          <w14:ligatures w14:val="standardContextual"/>
        </w:rPr>
        <w:fldChar w:fldCharType="begin"/>
      </w:r>
      <w:r w:rsidR="00C06DE6" w:rsidRPr="00C43543">
        <w:rPr>
          <w:szCs w:val="28"/>
          <w14:ligatures w14:val="standardContextual"/>
        </w:rPr>
        <w:instrText xml:space="preserve"> TA \l "</w:instrText>
      </w:r>
      <w:r w:rsidR="00C06DE6" w:rsidRPr="00C43543">
        <w:rPr>
          <w:i/>
          <w:iCs/>
          <w:szCs w:val="28"/>
          <w14:ligatures w14:val="standardContextual"/>
        </w:rPr>
        <w:instrText>Poage v. Crane Co.</w:instrText>
      </w:r>
      <w:r w:rsidR="00C06DE6" w:rsidRPr="00C43543">
        <w:rPr>
          <w:szCs w:val="28"/>
          <w14:ligatures w14:val="standardContextual"/>
        </w:rPr>
        <w:instrText>,</w:instrText>
      </w:r>
      <w:r w:rsidR="00C06DE6" w:rsidRPr="00C43543">
        <w:rPr>
          <w:szCs w:val="28"/>
          <w14:ligatures w14:val="standardContextual"/>
        </w:rPr>
        <w:br/>
        <w:instrText xml:space="preserve">523 S.W.3d 496 (Mo. Ct. App. 2017)" \s "Poage v. Crane, 523 S.W.3d 496" \c 1 </w:instrText>
      </w:r>
      <w:r w:rsidR="00C06DE6"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also Blanks v. Fluor</w:t>
      </w:r>
      <w:r w:rsidRPr="00C43543">
        <w:rPr>
          <w:szCs w:val="28"/>
          <w14:ligatures w14:val="standardContextual"/>
        </w:rPr>
        <w:t>, 450 S.W.3d 308, 400-01 (Mo. Ct. App. 2014)</w:t>
      </w:r>
      <w:r w:rsidR="00793A75" w:rsidRPr="00C43543">
        <w:rPr>
          <w:szCs w:val="28"/>
          <w14:ligatures w14:val="standardContextual"/>
        </w:rPr>
        <w:fldChar w:fldCharType="begin"/>
      </w:r>
      <w:r w:rsidR="00793A75" w:rsidRPr="00C43543">
        <w:rPr>
          <w:szCs w:val="28"/>
          <w14:ligatures w14:val="standardContextual"/>
        </w:rPr>
        <w:instrText xml:space="preserve"> TA \s "Blanks v. Fluor, 450 S.W.3d 308" </w:instrText>
      </w:r>
      <w:r w:rsidR="00793A75" w:rsidRPr="00C43543">
        <w:rPr>
          <w:szCs w:val="28"/>
          <w14:ligatures w14:val="standardContextual"/>
        </w:rPr>
        <w:fldChar w:fldCharType="end"/>
      </w:r>
      <w:r w:rsidRPr="00C43543">
        <w:rPr>
          <w:szCs w:val="28"/>
          <w14:ligatures w14:val="standardContextual"/>
        </w:rPr>
        <w:t>. The jury here did exactly that.</w:t>
      </w:r>
    </w:p>
    <w:p w14:paraId="788D322B" w14:textId="1B1CEBD0" w:rsidR="00CF0162" w:rsidRPr="00C43543" w:rsidRDefault="006E2120" w:rsidP="00CF0162">
      <w:pPr>
        <w:pStyle w:val="BodyText"/>
        <w:rPr>
          <w:szCs w:val="28"/>
          <w14:ligatures w14:val="standardContextual"/>
        </w:rPr>
      </w:pPr>
      <w:r w:rsidRPr="00C43543">
        <w:rPr>
          <w:szCs w:val="28"/>
          <w14:ligatures w14:val="standardContextual"/>
        </w:rPr>
        <w:t>T</w:t>
      </w:r>
      <w:r w:rsidR="00CF0162" w:rsidRPr="00C43543">
        <w:rPr>
          <w:szCs w:val="28"/>
          <w14:ligatures w14:val="standardContextual"/>
        </w:rPr>
        <w:t xml:space="preserve">he question for this Court is whether the record contains “substantial evidence or reasonable inferences” to sustain the jury’s finding. </w:t>
      </w:r>
      <w:r w:rsidR="00CF0162" w:rsidRPr="00C43543">
        <w:rPr>
          <w:i/>
          <w:iCs/>
          <w:szCs w:val="28"/>
          <w14:ligatures w14:val="standardContextual"/>
        </w:rPr>
        <w:t>Faust</w:t>
      </w:r>
      <w:r w:rsidR="00C06DE6" w:rsidRPr="00C43543">
        <w:rPr>
          <w:i/>
          <w:iCs/>
          <w:szCs w:val="28"/>
          <w14:ligatures w14:val="standardContextual"/>
        </w:rPr>
        <w:t xml:space="preserve"> v. Albertson</w:t>
      </w:r>
      <w:r w:rsidR="00CF0162" w:rsidRPr="00C43543">
        <w:rPr>
          <w:szCs w:val="28"/>
          <w14:ligatures w14:val="standardContextual"/>
        </w:rPr>
        <w:t xml:space="preserve">, 167 </w:t>
      </w:r>
      <w:r w:rsidR="004E0D08" w:rsidRPr="00C43543">
        <w:rPr>
          <w:szCs w:val="28"/>
          <w14:ligatures w14:val="standardContextual"/>
        </w:rPr>
        <w:t>Wn</w:t>
      </w:r>
      <w:r w:rsidR="00CF0162" w:rsidRPr="00C43543">
        <w:rPr>
          <w:szCs w:val="28"/>
          <w14:ligatures w14:val="standardContextual"/>
        </w:rPr>
        <w:t xml:space="preserve">.2d </w:t>
      </w:r>
      <w:r w:rsidR="00C06DE6" w:rsidRPr="00C43543">
        <w:rPr>
          <w:szCs w:val="28"/>
          <w14:ligatures w14:val="standardContextual"/>
        </w:rPr>
        <w:t>531,</w:t>
      </w:r>
      <w:r w:rsidR="00CF0162" w:rsidRPr="00C43543">
        <w:rPr>
          <w:szCs w:val="28"/>
          <w14:ligatures w14:val="standardContextual"/>
        </w:rPr>
        <w:t xml:space="preserve"> 538</w:t>
      </w:r>
      <w:r w:rsidR="00C06DE6" w:rsidRPr="00C43543">
        <w:rPr>
          <w:szCs w:val="28"/>
          <w14:ligatures w14:val="standardContextual"/>
        </w:rPr>
        <w:t>, 222 P.3d 1208 (2009)</w:t>
      </w:r>
      <w:r w:rsidR="00C06DE6" w:rsidRPr="00C43543">
        <w:rPr>
          <w:szCs w:val="28"/>
          <w14:ligatures w14:val="standardContextual"/>
        </w:rPr>
        <w:fldChar w:fldCharType="begin"/>
      </w:r>
      <w:r w:rsidR="00C06DE6" w:rsidRPr="00C43543">
        <w:rPr>
          <w:szCs w:val="28"/>
          <w14:ligatures w14:val="standardContextual"/>
        </w:rPr>
        <w:instrText xml:space="preserve"> TA \s "Faust v. Albertson, 167 Wn. 2d 531" </w:instrText>
      </w:r>
      <w:r w:rsidR="00C06DE6" w:rsidRPr="00C43543">
        <w:rPr>
          <w:szCs w:val="28"/>
          <w14:ligatures w14:val="standardContextual"/>
        </w:rPr>
        <w:fldChar w:fldCharType="end"/>
      </w:r>
      <w:r w:rsidR="00CF0162" w:rsidRPr="00C43543">
        <w:rPr>
          <w:szCs w:val="28"/>
          <w14:ligatures w14:val="standardContextual"/>
        </w:rPr>
        <w:t xml:space="preserve">. Only if the jury’s decision to impose punitive damages “is clearly unsupported by substantial evidence” may this Court step in and </w:t>
      </w:r>
      <w:r w:rsidR="00CF0162" w:rsidRPr="00C43543">
        <w:rPr>
          <w:szCs w:val="28"/>
          <w14:ligatures w14:val="standardContextual"/>
        </w:rPr>
        <w:lastRenderedPageBreak/>
        <w:t xml:space="preserve">nullify it. </w:t>
      </w:r>
      <w:r w:rsidR="00CF0162" w:rsidRPr="00C43543">
        <w:rPr>
          <w:i/>
          <w:iCs/>
          <w:szCs w:val="28"/>
          <w14:ligatures w14:val="standardContextual"/>
        </w:rPr>
        <w:t>Id.</w:t>
      </w:r>
      <w:r w:rsidR="00C06DE6" w:rsidRPr="00C43543">
        <w:rPr>
          <w:i/>
          <w:iCs/>
          <w:szCs w:val="28"/>
          <w14:ligatures w14:val="standardContextual"/>
        </w:rPr>
        <w:fldChar w:fldCharType="begin"/>
      </w:r>
      <w:r w:rsidR="00C06DE6" w:rsidRPr="00C43543">
        <w:rPr>
          <w:szCs w:val="28"/>
          <w14:ligatures w14:val="standardContextual"/>
        </w:rPr>
        <w:instrText xml:space="preserve"> TA \s "Faust v. Albertson, 167 Wn. 2d 531" </w:instrText>
      </w:r>
      <w:r w:rsidR="00C06DE6" w:rsidRPr="00C43543">
        <w:rPr>
          <w:i/>
          <w:iCs/>
          <w:szCs w:val="28"/>
          <w14:ligatures w14:val="standardContextual"/>
        </w:rPr>
        <w:fldChar w:fldCharType="end"/>
      </w:r>
      <w:r w:rsidR="00CF0162" w:rsidRPr="00C43543">
        <w:rPr>
          <w:szCs w:val="28"/>
          <w14:ligatures w14:val="standardContextual"/>
        </w:rPr>
        <w:t xml:space="preserve">; </w:t>
      </w:r>
      <w:r w:rsidR="00CF0162" w:rsidRPr="00C43543">
        <w:rPr>
          <w:i/>
          <w:iCs/>
          <w:szCs w:val="28"/>
          <w14:ligatures w14:val="standardContextual"/>
        </w:rPr>
        <w:t xml:space="preserve">see </w:t>
      </w:r>
      <w:proofErr w:type="spellStart"/>
      <w:r w:rsidR="00CF0162" w:rsidRPr="00C43543">
        <w:rPr>
          <w:i/>
          <w:iCs/>
          <w:szCs w:val="28"/>
          <w14:ligatures w14:val="standardContextual"/>
        </w:rPr>
        <w:t>Paetsch</w:t>
      </w:r>
      <w:proofErr w:type="spellEnd"/>
      <w:r w:rsidR="00CF0162" w:rsidRPr="00C43543">
        <w:rPr>
          <w:i/>
          <w:iCs/>
          <w:szCs w:val="28"/>
          <w14:ligatures w14:val="standardContextual"/>
        </w:rPr>
        <w:t xml:space="preserve"> v. Spokane Dermatology Clinic, P.S.</w:t>
      </w:r>
      <w:r w:rsidR="00CF0162" w:rsidRPr="00C43543">
        <w:rPr>
          <w:szCs w:val="28"/>
          <w14:ligatures w14:val="standardContextual"/>
        </w:rPr>
        <w:t>, 182 Wn.2d 842, 848</w:t>
      </w:r>
      <w:r w:rsidRPr="00C43543">
        <w:rPr>
          <w:szCs w:val="28"/>
          <w14:ligatures w14:val="standardContextual"/>
        </w:rPr>
        <w:t xml:space="preserve">, 348 P.3d 389 </w:t>
      </w:r>
      <w:r w:rsidR="00CF0162" w:rsidRPr="00C43543">
        <w:rPr>
          <w:szCs w:val="28"/>
          <w14:ligatures w14:val="standardContextual"/>
        </w:rPr>
        <w:t>(2015)</w:t>
      </w:r>
      <w:r w:rsidR="00C06DE6" w:rsidRPr="00C43543">
        <w:rPr>
          <w:szCs w:val="28"/>
          <w14:ligatures w14:val="standardContextual"/>
        </w:rPr>
        <w:fldChar w:fldCharType="begin"/>
      </w:r>
      <w:r w:rsidR="00C06DE6" w:rsidRPr="00C43543">
        <w:rPr>
          <w:szCs w:val="28"/>
          <w14:ligatures w14:val="standardContextual"/>
        </w:rPr>
        <w:instrText xml:space="preserve"> TA \l "</w:instrText>
      </w:r>
      <w:r w:rsidR="00C06DE6" w:rsidRPr="00C43543">
        <w:rPr>
          <w:i/>
          <w:iCs/>
          <w:szCs w:val="28"/>
          <w14:ligatures w14:val="standardContextual"/>
        </w:rPr>
        <w:instrText>Paetsch v. Spokane Dermatology Clinic, P.S.</w:instrText>
      </w:r>
      <w:r w:rsidR="00C06DE6" w:rsidRPr="00C43543">
        <w:rPr>
          <w:szCs w:val="28"/>
          <w14:ligatures w14:val="standardContextual"/>
        </w:rPr>
        <w:instrText>,</w:instrText>
      </w:r>
      <w:r w:rsidR="00C06DE6" w:rsidRPr="00C43543">
        <w:rPr>
          <w:szCs w:val="28"/>
          <w14:ligatures w14:val="standardContextual"/>
        </w:rPr>
        <w:br/>
        <w:instrText xml:space="preserve">182 Wn.2d 842, 348 P.3d 389 (2015)" \s "Paetsch v. Spokane, P.S., 182 Wn.2d 842" \c 1 </w:instrText>
      </w:r>
      <w:r w:rsidR="00C06DE6" w:rsidRPr="00C43543">
        <w:rPr>
          <w:szCs w:val="28"/>
          <w14:ligatures w14:val="standardContextual"/>
        </w:rPr>
        <w:fldChar w:fldCharType="end"/>
      </w:r>
      <w:r w:rsidR="00CF0162" w:rsidRPr="00C43543">
        <w:rPr>
          <w:szCs w:val="28"/>
          <w14:ligatures w14:val="standardContextual"/>
        </w:rPr>
        <w:t xml:space="preserve"> (“[J]</w:t>
      </w:r>
      <w:proofErr w:type="spellStart"/>
      <w:r w:rsidR="00CF0162" w:rsidRPr="00C43543">
        <w:rPr>
          <w:szCs w:val="28"/>
          <w14:ligatures w14:val="standardContextual"/>
        </w:rPr>
        <w:t>udgment</w:t>
      </w:r>
      <w:proofErr w:type="spellEnd"/>
      <w:r w:rsidR="00CF0162" w:rsidRPr="00C43543">
        <w:rPr>
          <w:szCs w:val="28"/>
          <w14:ligatures w14:val="standardContextual"/>
        </w:rPr>
        <w:t xml:space="preserve"> as a matter of law requires” that there’s “no substantial evidence or reasonable inferences to sustain a verdict for the nonmoving party.”); </w:t>
      </w:r>
      <w:r w:rsidR="00CF0162" w:rsidRPr="00C43543">
        <w:rPr>
          <w:i/>
          <w:iCs/>
          <w:szCs w:val="28"/>
          <w14:ligatures w14:val="standardContextual"/>
        </w:rPr>
        <w:t>Schmidt v. Coogan</w:t>
      </w:r>
      <w:r w:rsidR="00CF0162" w:rsidRPr="00C43543">
        <w:rPr>
          <w:szCs w:val="28"/>
          <w14:ligatures w14:val="standardContextual"/>
        </w:rPr>
        <w:t>, 162 Wn.2d 488, 493</w:t>
      </w:r>
      <w:r w:rsidRPr="00C43543">
        <w:rPr>
          <w:szCs w:val="28"/>
          <w14:ligatures w14:val="standardContextual"/>
        </w:rPr>
        <w:t xml:space="preserve">, 173 P.3d 273 </w:t>
      </w:r>
      <w:r w:rsidR="00CF0162" w:rsidRPr="00C43543">
        <w:rPr>
          <w:szCs w:val="28"/>
          <w14:ligatures w14:val="standardContextual"/>
        </w:rPr>
        <w:t>(2007)</w:t>
      </w:r>
      <w:r w:rsidR="00C06DE6" w:rsidRPr="00C43543">
        <w:rPr>
          <w:szCs w:val="28"/>
          <w14:ligatures w14:val="standardContextual"/>
        </w:rPr>
        <w:fldChar w:fldCharType="begin"/>
      </w:r>
      <w:r w:rsidR="00C06DE6" w:rsidRPr="00C43543">
        <w:rPr>
          <w:szCs w:val="28"/>
          <w14:ligatures w14:val="standardContextual"/>
        </w:rPr>
        <w:instrText xml:space="preserve"> TA \l "</w:instrText>
      </w:r>
      <w:r w:rsidR="00C06DE6" w:rsidRPr="00C43543">
        <w:rPr>
          <w:i/>
          <w:iCs/>
          <w:szCs w:val="28"/>
          <w14:ligatures w14:val="standardContextual"/>
        </w:rPr>
        <w:instrText>Schmidt v. Coogan</w:instrText>
      </w:r>
      <w:r w:rsidR="00C06DE6" w:rsidRPr="00C43543">
        <w:rPr>
          <w:szCs w:val="28"/>
          <w14:ligatures w14:val="standardContextual"/>
        </w:rPr>
        <w:instrText>,</w:instrText>
      </w:r>
      <w:r w:rsidR="00C06DE6" w:rsidRPr="00C43543">
        <w:rPr>
          <w:szCs w:val="28"/>
          <w14:ligatures w14:val="standardContextual"/>
        </w:rPr>
        <w:br/>
        <w:instrText xml:space="preserve">162 Wn.2d 488, 173 P.3d 273 (2007)" \s "Schmidt v. Coogan, 162 Wn.2d 488" \c 1 </w:instrText>
      </w:r>
      <w:r w:rsidR="00C06DE6" w:rsidRPr="00C43543">
        <w:rPr>
          <w:szCs w:val="28"/>
          <w14:ligatures w14:val="standardContextual"/>
        </w:rPr>
        <w:fldChar w:fldCharType="end"/>
      </w:r>
      <w:r w:rsidR="00CF0162" w:rsidRPr="00C43543">
        <w:rPr>
          <w:szCs w:val="28"/>
          <w14:ligatures w14:val="standardContextual"/>
        </w:rPr>
        <w:t xml:space="preserve"> (“[G]ranting judgment as a matter of law should be limited to circumstances in which there is no doubt as to the proper verdict.”). </w:t>
      </w:r>
    </w:p>
    <w:p w14:paraId="5BCA886A" w14:textId="0FB78B4F" w:rsidR="00CF0162" w:rsidRPr="00C43543" w:rsidRDefault="00CF0162" w:rsidP="00CF0162">
      <w:pPr>
        <w:pStyle w:val="BodyText"/>
        <w:rPr>
          <w:szCs w:val="28"/>
          <w14:ligatures w14:val="standardContextual"/>
        </w:rPr>
      </w:pPr>
      <w:r w:rsidRPr="00C43543">
        <w:rPr>
          <w:szCs w:val="28"/>
          <w14:ligatures w14:val="standardContextual"/>
        </w:rPr>
        <w:tab/>
      </w:r>
      <w:r w:rsidRPr="00C43543">
        <w:rPr>
          <w:b/>
          <w:szCs w:val="28"/>
          <w14:ligatures w14:val="standardContextual"/>
        </w:rPr>
        <w:t xml:space="preserve">1. </w:t>
      </w:r>
      <w:r w:rsidRPr="00C43543">
        <w:rPr>
          <w:szCs w:val="28"/>
          <w14:ligatures w14:val="standardContextual"/>
        </w:rPr>
        <w:t xml:space="preserve">As the trial court explained, the evidence supporting the jury’s assessment of punitive damages is not just substantial, but overwhelming. Monsanto “knew from the 1930s forward that PCBs caused systematic toxicity and led to disease and death.” </w:t>
      </w:r>
      <w:r w:rsidR="00E00F12" w:rsidRPr="00C43543">
        <w:rPr>
          <w:szCs w:val="28"/>
          <w14:ligatures w14:val="standardContextual"/>
        </w:rPr>
        <w:t>CP 16798.</w:t>
      </w:r>
      <w:r w:rsidRPr="00C43543">
        <w:rPr>
          <w:szCs w:val="28"/>
          <w14:ligatures w14:val="standardContextual"/>
        </w:rPr>
        <w:t xml:space="preserve"> It also learned that “its PCBs were contaminated with ‘furans,’ which could be even more toxic.” </w:t>
      </w:r>
      <w:r w:rsidR="00E00F12" w:rsidRPr="00C43543">
        <w:rPr>
          <w:szCs w:val="28"/>
          <w14:ligatures w14:val="standardContextual"/>
        </w:rPr>
        <w:t xml:space="preserve">CP </w:t>
      </w:r>
      <w:r w:rsidR="00FC31BF" w:rsidRPr="00C43543">
        <w:rPr>
          <w:szCs w:val="28"/>
          <w14:ligatures w14:val="standardContextual"/>
        </w:rPr>
        <w:t>16799.</w:t>
      </w:r>
      <w:r w:rsidRPr="00C43543">
        <w:rPr>
          <w:szCs w:val="28"/>
          <w14:ligatures w14:val="standardContextual"/>
        </w:rPr>
        <w:t xml:space="preserve"> Yet Monsanto “did not warn anyone of their presence or develop quality control methods to avoid contamination.” </w:t>
      </w:r>
      <w:r w:rsidR="00FC31BF" w:rsidRPr="00C43543">
        <w:rPr>
          <w:szCs w:val="28"/>
          <w14:ligatures w14:val="standardContextual"/>
        </w:rPr>
        <w:t>CP 16799.</w:t>
      </w:r>
      <w:r w:rsidRPr="00C43543">
        <w:rPr>
          <w:szCs w:val="28"/>
          <w14:ligatures w14:val="standardContextual"/>
        </w:rPr>
        <w:t xml:space="preserve"> It “never told its customers, the public, or the government” about </w:t>
      </w:r>
      <w:r w:rsidRPr="00C43543">
        <w:rPr>
          <w:i/>
          <w:iCs/>
          <w:szCs w:val="28"/>
          <w14:ligatures w14:val="standardContextual"/>
        </w:rPr>
        <w:t>any</w:t>
      </w:r>
      <w:r w:rsidRPr="00C43543">
        <w:rPr>
          <w:szCs w:val="28"/>
          <w14:ligatures w14:val="standardContextual"/>
        </w:rPr>
        <w:t xml:space="preserve"> of the “information it learned about the hazards of PCBs.” </w:t>
      </w:r>
      <w:r w:rsidR="00FC31BF" w:rsidRPr="00C43543">
        <w:rPr>
          <w:szCs w:val="28"/>
          <w14:ligatures w14:val="standardContextual"/>
        </w:rPr>
        <w:t>CP 16798.</w:t>
      </w:r>
      <w:r w:rsidRPr="00C43543">
        <w:rPr>
          <w:szCs w:val="28"/>
          <w14:ligatures w14:val="standardContextual"/>
        </w:rPr>
        <w:t xml:space="preserve"> It didn</w:t>
      </w:r>
      <w:r w:rsidR="006720D6" w:rsidRPr="00C43543">
        <w:rPr>
          <w:szCs w:val="28"/>
          <w14:ligatures w14:val="standardContextual"/>
        </w:rPr>
        <w:t>’</w:t>
      </w:r>
      <w:r w:rsidRPr="00C43543">
        <w:rPr>
          <w:szCs w:val="28"/>
          <w14:ligatures w14:val="standardContextual"/>
        </w:rPr>
        <w:t xml:space="preserve">t tell its customers, for example, that the Navy had “determined that PCBs were too toxic to use” in 1959. </w:t>
      </w:r>
      <w:r w:rsidR="00FC31BF" w:rsidRPr="00C43543">
        <w:rPr>
          <w:szCs w:val="28"/>
          <w14:ligatures w14:val="standardContextual"/>
        </w:rPr>
        <w:t>CP 16799.</w:t>
      </w:r>
      <w:r w:rsidRPr="00C43543">
        <w:rPr>
          <w:szCs w:val="28"/>
          <w14:ligatures w14:val="standardContextual"/>
        </w:rPr>
        <w:t xml:space="preserve"> And “[c]</w:t>
      </w:r>
      <w:proofErr w:type="spellStart"/>
      <w:r w:rsidRPr="00C43543">
        <w:rPr>
          <w:szCs w:val="28"/>
          <w14:ligatures w14:val="standardContextual"/>
        </w:rPr>
        <w:t>ontrary</w:t>
      </w:r>
      <w:proofErr w:type="spellEnd"/>
      <w:r w:rsidRPr="00C43543">
        <w:rPr>
          <w:szCs w:val="28"/>
          <w14:ligatures w14:val="standardContextual"/>
        </w:rPr>
        <w:t xml:space="preserve"> to industry custom and practice,” Monsanto “chose not to conduct chronic toxicity </w:t>
      </w:r>
      <w:r w:rsidRPr="00C43543">
        <w:rPr>
          <w:szCs w:val="28"/>
          <w14:ligatures w14:val="standardContextual"/>
        </w:rPr>
        <w:lastRenderedPageBreak/>
        <w:t xml:space="preserve">testing” because it wanted to “avoid developing data which would confirm what [it] already knew and interfere with its sales.” </w:t>
      </w:r>
      <w:r w:rsidR="00FC31BF" w:rsidRPr="00C43543">
        <w:rPr>
          <w:szCs w:val="28"/>
          <w14:ligatures w14:val="standardContextual"/>
        </w:rPr>
        <w:t>CP 16798.</w:t>
      </w:r>
    </w:p>
    <w:p w14:paraId="03E040D3" w14:textId="0572EB24" w:rsidR="00CF0162" w:rsidRPr="00C43543" w:rsidRDefault="00CF0162" w:rsidP="00CF0162">
      <w:pPr>
        <w:pStyle w:val="BodyText"/>
        <w:rPr>
          <w:szCs w:val="28"/>
          <w14:ligatures w14:val="standardContextual"/>
        </w:rPr>
      </w:pPr>
      <w:r w:rsidRPr="00C43543">
        <w:rPr>
          <w:szCs w:val="28"/>
          <w14:ligatures w14:val="standardContextual"/>
        </w:rPr>
        <w:t xml:space="preserve">Monsanto also repeatedly lied to or misled the public and regulators about the dangers of PCBs. It “told its customers that it had tested PCB products and that PCBs had not demonstrated any toxic effects,” when this was </w:t>
      </w:r>
      <w:r w:rsidR="00EC39F7" w:rsidRPr="00C43543">
        <w:rPr>
          <w:szCs w:val="28"/>
          <w14:ligatures w14:val="standardContextual"/>
        </w:rPr>
        <w:t>patently false</w:t>
      </w:r>
      <w:r w:rsidRPr="00C43543">
        <w:rPr>
          <w:szCs w:val="28"/>
          <w14:ligatures w14:val="standardContextual"/>
        </w:rPr>
        <w:t xml:space="preserve">. </w:t>
      </w:r>
      <w:r w:rsidR="00FC31BF" w:rsidRPr="00C43543">
        <w:rPr>
          <w:szCs w:val="28"/>
          <w14:ligatures w14:val="standardContextual"/>
        </w:rPr>
        <w:t xml:space="preserve">CP 16798-99. </w:t>
      </w:r>
      <w:r w:rsidRPr="00C43543">
        <w:rPr>
          <w:szCs w:val="28"/>
          <w14:ligatures w14:val="standardContextual"/>
        </w:rPr>
        <w:t xml:space="preserve">It “lied to its customers about the number and nature of injuries from PCBs it knew about.” </w:t>
      </w:r>
      <w:r w:rsidR="00FC31BF" w:rsidRPr="00C43543">
        <w:rPr>
          <w:szCs w:val="28"/>
          <w14:ligatures w14:val="standardContextual"/>
        </w:rPr>
        <w:t xml:space="preserve">CP 16799. </w:t>
      </w:r>
      <w:r w:rsidRPr="00C43543">
        <w:rPr>
          <w:szCs w:val="28"/>
          <w14:ligatures w14:val="standardContextual"/>
        </w:rPr>
        <w:t xml:space="preserve">It “engaged in a corporate disinformation campaign to undermine evidence of the dangers PCBs presented,” and “opted not to warn the public about the danger of PCBs in their fluorescent light ballasts or to otherwise take action to address the problem.” </w:t>
      </w:r>
      <w:r w:rsidR="00FC31BF" w:rsidRPr="00C43543">
        <w:rPr>
          <w:szCs w:val="28"/>
          <w14:ligatures w14:val="standardContextual"/>
        </w:rPr>
        <w:t xml:space="preserve">CP 16799. </w:t>
      </w:r>
      <w:r w:rsidRPr="00C43543">
        <w:rPr>
          <w:szCs w:val="28"/>
          <w14:ligatures w14:val="standardContextual"/>
        </w:rPr>
        <w:t xml:space="preserve">All the while, it “knowingly pushed PCBs for uses that would come into contact with ordinary consumers.” </w:t>
      </w:r>
      <w:r w:rsidR="00FC31BF" w:rsidRPr="00C43543">
        <w:rPr>
          <w:szCs w:val="28"/>
          <w14:ligatures w14:val="standardContextual"/>
        </w:rPr>
        <w:t>CP 16798.</w:t>
      </w:r>
    </w:p>
    <w:p w14:paraId="4D238ADC" w14:textId="5FD82EC2" w:rsidR="00CF0162" w:rsidRPr="00C43543" w:rsidRDefault="00EC39F7" w:rsidP="00CF0162">
      <w:pPr>
        <w:pStyle w:val="BodyText"/>
        <w:rPr>
          <w:szCs w:val="28"/>
          <w14:ligatures w14:val="standardContextual"/>
        </w:rPr>
      </w:pPr>
      <w:r w:rsidRPr="00C43543">
        <w:rPr>
          <w:szCs w:val="28"/>
          <w14:ligatures w14:val="standardContextual"/>
        </w:rPr>
        <w:t>That’s not all.</w:t>
      </w:r>
      <w:r w:rsidR="00CF0162" w:rsidRPr="00C43543">
        <w:rPr>
          <w:szCs w:val="28"/>
          <w14:ligatures w14:val="standardContextual"/>
        </w:rPr>
        <w:t xml:space="preserve"> Monsanto “knew, after it ceased production of PCBs, that they remained in schools (through caulk and light ballasts) and that the general public was unaware of their presence, or that PCB-containing light ballasts emit PCBs and a leak or rupture could release even more PCBs into the air.” </w:t>
      </w:r>
      <w:r w:rsidR="00FC31BF" w:rsidRPr="00C43543">
        <w:rPr>
          <w:szCs w:val="28"/>
          <w14:ligatures w14:val="standardContextual"/>
        </w:rPr>
        <w:t xml:space="preserve">CP 167988. </w:t>
      </w:r>
      <w:r w:rsidR="00CF0162" w:rsidRPr="00C43543">
        <w:rPr>
          <w:szCs w:val="28"/>
          <w14:ligatures w14:val="standardContextual"/>
        </w:rPr>
        <w:t xml:space="preserve">And </w:t>
      </w:r>
      <w:r w:rsidR="00CF0162" w:rsidRPr="00C43543">
        <w:rPr>
          <w:szCs w:val="28"/>
          <w14:ligatures w14:val="standardContextual"/>
        </w:rPr>
        <w:lastRenderedPageBreak/>
        <w:t xml:space="preserve">it knew that PCBs “remained in electrical equipment in service around the country, with failures occurring every day.” </w:t>
      </w:r>
      <w:r w:rsidR="00FC31BF" w:rsidRPr="00C43543">
        <w:rPr>
          <w:szCs w:val="28"/>
          <w14:ligatures w14:val="standardContextual"/>
        </w:rPr>
        <w:t xml:space="preserve">CP 16799. </w:t>
      </w:r>
      <w:r w:rsidR="00CF0162" w:rsidRPr="00C43543">
        <w:rPr>
          <w:szCs w:val="28"/>
          <w14:ligatures w14:val="standardContextual"/>
        </w:rPr>
        <w:t xml:space="preserve">But instead of acting to protect teachers and schoolchildren, Monsanto “specifically sought to undermine the EPA’s efforts to get PCBs out of schools, falsely claiming that the science did not establish any link between exposure to PCBs and cancer or other significant human illness.” </w:t>
      </w:r>
      <w:r w:rsidR="00FC31BF" w:rsidRPr="00C43543">
        <w:rPr>
          <w:szCs w:val="28"/>
          <w14:ligatures w14:val="standardContextual"/>
        </w:rPr>
        <w:t xml:space="preserve">CP 16800. </w:t>
      </w:r>
      <w:r w:rsidR="00CF0162" w:rsidRPr="00C43543">
        <w:rPr>
          <w:szCs w:val="28"/>
          <w14:ligatures w14:val="standardContextual"/>
        </w:rPr>
        <w:t>“Contrary to the EPA’s warnings to the public, Monsanto put out its own statements that ‘PCBs are not human ‘cancer-causing agents’ and they are not ‘deadly toxins.</w:t>
      </w:r>
      <w:r w:rsidRPr="00C43543">
        <w:rPr>
          <w:szCs w:val="28"/>
          <w14:ligatures w14:val="standardContextual"/>
        </w:rPr>
        <w:t>’</w:t>
      </w:r>
      <w:r w:rsidR="00CF0162" w:rsidRPr="00C43543">
        <w:rPr>
          <w:szCs w:val="28"/>
          <w14:ligatures w14:val="standardContextual"/>
        </w:rPr>
        <w:t xml:space="preserve">” </w:t>
      </w:r>
      <w:r w:rsidR="00FC31BF" w:rsidRPr="00C43543">
        <w:rPr>
          <w:szCs w:val="28"/>
          <w14:ligatures w14:val="standardContextual"/>
        </w:rPr>
        <w:t xml:space="preserve">CP 16800. </w:t>
      </w:r>
      <w:r w:rsidR="00CF0162" w:rsidRPr="00C43543">
        <w:rPr>
          <w:szCs w:val="28"/>
          <w14:ligatures w14:val="standardContextual"/>
        </w:rPr>
        <w:t xml:space="preserve">Even today, Monsanto “has not learned its lesson.” </w:t>
      </w:r>
      <w:r w:rsidR="00FC31BF" w:rsidRPr="00C43543">
        <w:rPr>
          <w:szCs w:val="28"/>
          <w14:ligatures w14:val="standardContextual"/>
        </w:rPr>
        <w:t>CP 16800.</w:t>
      </w:r>
    </w:p>
    <w:p w14:paraId="6792FA34" w14:textId="15A1AB56" w:rsidR="00CF0162" w:rsidRPr="00C43543" w:rsidRDefault="00CF0162" w:rsidP="00CF0162">
      <w:pPr>
        <w:pStyle w:val="BodyText"/>
        <w:rPr>
          <w:szCs w:val="28"/>
          <w14:ligatures w14:val="standardContextual"/>
        </w:rPr>
      </w:pPr>
      <w:r w:rsidRPr="00C43543">
        <w:rPr>
          <w:szCs w:val="28"/>
          <w14:ligatures w14:val="standardContextual"/>
        </w:rPr>
        <w:t xml:space="preserve">This evidence goes well beyond what is required by Missouri law. Here, Monsanto knew that teachers and children were exposed to toxic substances and yet “continued to release the toxins and hid the dangers and extent of contamination from regulators and the public.” </w:t>
      </w:r>
      <w:r w:rsidRPr="00C43543">
        <w:rPr>
          <w:i/>
          <w:iCs/>
          <w:szCs w:val="28"/>
          <w14:ligatures w14:val="standardContextual"/>
        </w:rPr>
        <w:t>Blanks</w:t>
      </w:r>
      <w:r w:rsidRPr="00C43543">
        <w:rPr>
          <w:szCs w:val="28"/>
          <w14:ligatures w14:val="standardContextual"/>
        </w:rPr>
        <w:t>, 450 S.W.3d at 404</w:t>
      </w:r>
      <w:r w:rsidR="00C06DE6" w:rsidRPr="00C43543">
        <w:rPr>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szCs w:val="28"/>
          <w14:ligatures w14:val="standardContextual"/>
        </w:rPr>
        <w:fldChar w:fldCharType="end"/>
      </w:r>
      <w:r w:rsidRPr="00C43543">
        <w:rPr>
          <w:szCs w:val="28"/>
          <w14:ligatures w14:val="standardContextual"/>
        </w:rPr>
        <w:t xml:space="preserve">. “More than that, [it] misled the public.” </w:t>
      </w:r>
      <w:r w:rsidRPr="00C43543">
        <w:rPr>
          <w:i/>
          <w:iCs/>
          <w:szCs w:val="28"/>
          <w14:ligatures w14:val="standardContextual"/>
        </w:rPr>
        <w:t>Id.</w:t>
      </w:r>
      <w:r w:rsidR="00C06DE6" w:rsidRPr="00C43543">
        <w:rPr>
          <w:i/>
          <w:iCs/>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i/>
          <w:iCs/>
          <w:szCs w:val="28"/>
          <w14:ligatures w14:val="standardContextual"/>
        </w:rPr>
        <w:fldChar w:fldCharType="end"/>
      </w:r>
      <w:r w:rsidRPr="00C43543">
        <w:rPr>
          <w:szCs w:val="28"/>
          <w14:ligatures w14:val="standardContextual"/>
        </w:rPr>
        <w:t xml:space="preserve"> “And [its] reason for doing so was readily apparent”: to reduce “the economic costs” to itself. </w:t>
      </w:r>
      <w:r w:rsidRPr="00C43543">
        <w:rPr>
          <w:i/>
          <w:iCs/>
          <w:szCs w:val="28"/>
          <w14:ligatures w14:val="standardContextual"/>
        </w:rPr>
        <w:t>Id.</w:t>
      </w:r>
      <w:r w:rsidR="00C06DE6" w:rsidRPr="00C43543">
        <w:rPr>
          <w:i/>
          <w:iCs/>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i/>
          <w:iCs/>
          <w:szCs w:val="28"/>
          <w14:ligatures w14:val="standardContextual"/>
        </w:rPr>
        <w:fldChar w:fldCharType="end"/>
      </w:r>
      <w:r w:rsidRPr="00C43543">
        <w:rPr>
          <w:i/>
          <w:iCs/>
          <w:szCs w:val="28"/>
          <w14:ligatures w14:val="standardContextual"/>
        </w:rPr>
        <w:t xml:space="preserve"> </w:t>
      </w:r>
      <w:r w:rsidRPr="00C43543">
        <w:rPr>
          <w:szCs w:val="28"/>
          <w14:ligatures w14:val="standardContextual"/>
        </w:rPr>
        <w:t xml:space="preserve">“In short, [Monsanto] placed [its] ability to turn a profit above the well-being of children,” teachers, and the public. </w:t>
      </w:r>
      <w:r w:rsidRPr="00C43543">
        <w:rPr>
          <w:i/>
          <w:iCs/>
          <w:szCs w:val="28"/>
          <w14:ligatures w14:val="standardContextual"/>
        </w:rPr>
        <w:t>Id.</w:t>
      </w:r>
      <w:r w:rsidR="00C06DE6" w:rsidRPr="00C43543">
        <w:rPr>
          <w:i/>
          <w:iCs/>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i/>
          <w:iCs/>
          <w:szCs w:val="28"/>
          <w14:ligatures w14:val="standardContextual"/>
        </w:rPr>
        <w:fldChar w:fldCharType="end"/>
      </w:r>
      <w:r w:rsidRPr="00C43543">
        <w:rPr>
          <w:szCs w:val="28"/>
          <w14:ligatures w14:val="standardContextual"/>
        </w:rPr>
        <w:t xml:space="preserve"> When that is so, Missouri courts “are </w:t>
      </w:r>
      <w:r w:rsidRPr="00C43543">
        <w:rPr>
          <w:szCs w:val="28"/>
          <w14:ligatures w14:val="standardContextual"/>
        </w:rPr>
        <w:lastRenderedPageBreak/>
        <w:t xml:space="preserve">neither offended nor surprised by” a jury’s punitive-damages award, because “[t]he </w:t>
      </w:r>
      <w:proofErr w:type="gramStart"/>
      <w:r w:rsidRPr="00C43543">
        <w:rPr>
          <w:szCs w:val="28"/>
          <w14:ligatures w14:val="standardContextual"/>
        </w:rPr>
        <w:t>jury</w:t>
      </w:r>
      <w:proofErr w:type="gramEnd"/>
      <w:r w:rsidRPr="00C43543">
        <w:rPr>
          <w:szCs w:val="28"/>
          <w14:ligatures w14:val="standardContextual"/>
        </w:rPr>
        <w:t xml:space="preserve"> </w:t>
      </w:r>
      <w:r w:rsidR="006E2120" w:rsidRPr="00C43543">
        <w:rPr>
          <w:szCs w:val="28"/>
          <w14:ligatures w14:val="standardContextual"/>
        </w:rPr>
        <w:t>c</w:t>
      </w:r>
      <w:r w:rsidRPr="00C43543">
        <w:rPr>
          <w:szCs w:val="28"/>
          <w14:ligatures w14:val="standardContextual"/>
        </w:rPr>
        <w:t xml:space="preserve">ould rightly find such actions outrageous.” </w:t>
      </w:r>
      <w:r w:rsidRPr="00C43543">
        <w:rPr>
          <w:i/>
          <w:iCs/>
          <w:szCs w:val="28"/>
          <w14:ligatures w14:val="standardContextual"/>
        </w:rPr>
        <w:t>Id.</w:t>
      </w:r>
      <w:r w:rsidR="00C06DE6" w:rsidRPr="00C43543">
        <w:rPr>
          <w:i/>
          <w:iCs/>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i/>
          <w:iCs/>
          <w:szCs w:val="28"/>
          <w14:ligatures w14:val="standardContextual"/>
        </w:rPr>
        <w:fldChar w:fldCharType="end"/>
      </w:r>
      <w:r w:rsidRPr="00C43543">
        <w:rPr>
          <w:szCs w:val="28"/>
          <w14:ligatures w14:val="standardContextual"/>
        </w:rPr>
        <w:t xml:space="preserve">  </w:t>
      </w:r>
    </w:p>
    <w:p w14:paraId="0C958665" w14:textId="75413C68" w:rsidR="00CF0162" w:rsidRPr="00C43543" w:rsidRDefault="00CF0162" w:rsidP="00CF0162">
      <w:pPr>
        <w:pStyle w:val="BodyText"/>
        <w:rPr>
          <w:szCs w:val="28"/>
          <w14:ligatures w14:val="standardContextual"/>
        </w:rPr>
      </w:pPr>
      <w:r w:rsidRPr="00C43543">
        <w:rPr>
          <w:szCs w:val="28"/>
          <w14:ligatures w14:val="standardContextual"/>
        </w:rPr>
        <w:tab/>
      </w:r>
      <w:r w:rsidRPr="00C43543">
        <w:rPr>
          <w:b/>
          <w:szCs w:val="28"/>
          <w14:ligatures w14:val="standardContextual"/>
        </w:rPr>
        <w:t>2.</w:t>
      </w:r>
      <w:r w:rsidRPr="00C43543">
        <w:rPr>
          <w:szCs w:val="28"/>
          <w14:ligatures w14:val="standardContextual"/>
        </w:rPr>
        <w:t xml:space="preserve"> On appeal, Monsanto does not deny that this evidence exists </w:t>
      </w:r>
      <w:r w:rsidR="006E2120" w:rsidRPr="00C43543">
        <w:rPr>
          <w:szCs w:val="28"/>
          <w14:ligatures w14:val="standardContextual"/>
        </w:rPr>
        <w:t>or that</w:t>
      </w:r>
      <w:r w:rsidRPr="00C43543">
        <w:rPr>
          <w:szCs w:val="28"/>
          <w14:ligatures w14:val="standardContextual"/>
        </w:rPr>
        <w:t xml:space="preserve"> this Court is required to credit it. Nevertheless, it argues that punitive damages are precluded as a matter of Missouri law</w:t>
      </w:r>
      <w:r w:rsidR="00EC39F7" w:rsidRPr="00C43543">
        <w:rPr>
          <w:szCs w:val="28"/>
          <w14:ligatures w14:val="standardContextual"/>
        </w:rPr>
        <w:t xml:space="preserve"> for</w:t>
      </w:r>
      <w:r w:rsidRPr="00C43543">
        <w:rPr>
          <w:szCs w:val="28"/>
          <w14:ligatures w14:val="standardContextual"/>
        </w:rPr>
        <w:t xml:space="preserve"> two reasons, neither of which is correct. </w:t>
      </w:r>
    </w:p>
    <w:p w14:paraId="5F517A93" w14:textId="77777777" w:rsidR="00CF0162" w:rsidRPr="00C43543" w:rsidRDefault="00CF0162" w:rsidP="00CF0162">
      <w:pPr>
        <w:pStyle w:val="BodyText"/>
        <w:rPr>
          <w:szCs w:val="28"/>
          <w14:ligatures w14:val="standardContextual"/>
        </w:rPr>
      </w:pPr>
      <w:r w:rsidRPr="00C43543">
        <w:rPr>
          <w:szCs w:val="28"/>
          <w14:ligatures w14:val="standardContextual"/>
        </w:rPr>
        <w:tab/>
      </w:r>
      <w:r w:rsidRPr="00C43543">
        <w:rPr>
          <w:i/>
          <w:iCs/>
          <w:szCs w:val="28"/>
          <w14:ligatures w14:val="standardContextual"/>
        </w:rPr>
        <w:t>First</w:t>
      </w:r>
      <w:r w:rsidRPr="00C43543">
        <w:rPr>
          <w:szCs w:val="28"/>
          <w14:ligatures w14:val="standardContextual"/>
        </w:rPr>
        <w:t xml:space="preserve">, Monsanto contends (at 218) that the plaintiffs “failed to offer evidence that Monsanto was aware, in the 1960s and 1970s, that use of PCBs in sealed [fluorescent light ballast] capacitors presented an unreasonable risk of injury to building occupants.” </w:t>
      </w:r>
    </w:p>
    <w:p w14:paraId="53D847D9" w14:textId="0B2A515C" w:rsidR="00CF0162" w:rsidRPr="00C43543" w:rsidRDefault="00CF0162" w:rsidP="00CF0162">
      <w:pPr>
        <w:pStyle w:val="BodyText"/>
        <w:rPr>
          <w:szCs w:val="28"/>
          <w14:ligatures w14:val="standardContextual"/>
        </w:rPr>
      </w:pPr>
      <w:r w:rsidRPr="00C43543">
        <w:rPr>
          <w:szCs w:val="28"/>
          <w14:ligatures w14:val="standardContextual"/>
        </w:rPr>
        <w:t>As an initial matter, Monsanto didn</w:t>
      </w:r>
      <w:r w:rsidR="006720D6" w:rsidRPr="00C43543">
        <w:rPr>
          <w:szCs w:val="28"/>
          <w14:ligatures w14:val="standardContextual"/>
        </w:rPr>
        <w:t>’</w:t>
      </w:r>
      <w:r w:rsidRPr="00C43543">
        <w:rPr>
          <w:szCs w:val="28"/>
          <w14:ligatures w14:val="standardContextual"/>
        </w:rPr>
        <w:t>t make this argument below. Because “[f]</w:t>
      </w:r>
      <w:proofErr w:type="spellStart"/>
      <w:r w:rsidRPr="00C43543">
        <w:rPr>
          <w:szCs w:val="28"/>
          <w14:ligatures w14:val="standardContextual"/>
        </w:rPr>
        <w:t>ailure</w:t>
      </w:r>
      <w:proofErr w:type="spellEnd"/>
      <w:r w:rsidRPr="00C43543">
        <w:rPr>
          <w:szCs w:val="28"/>
          <w14:ligatures w14:val="standardContextual"/>
        </w:rPr>
        <w:t xml:space="preserve"> to raise an issue before the trial court generally precludes a party from raising it on appeal,” the argument is waived. </w:t>
      </w:r>
      <w:r w:rsidRPr="00C43543">
        <w:rPr>
          <w:i/>
          <w:iCs/>
          <w:szCs w:val="28"/>
          <w14:ligatures w14:val="standardContextual"/>
        </w:rPr>
        <w:t xml:space="preserve">Wilcox v. </w:t>
      </w:r>
      <w:proofErr w:type="spellStart"/>
      <w:r w:rsidRPr="00C43543">
        <w:rPr>
          <w:i/>
          <w:iCs/>
          <w:szCs w:val="28"/>
          <w14:ligatures w14:val="standardContextual"/>
        </w:rPr>
        <w:t>Basehore</w:t>
      </w:r>
      <w:proofErr w:type="spellEnd"/>
      <w:r w:rsidRPr="00C43543">
        <w:rPr>
          <w:szCs w:val="28"/>
          <w14:ligatures w14:val="standardContextual"/>
        </w:rPr>
        <w:t>, 187 Wn.2d 772, 788</w:t>
      </w:r>
      <w:r w:rsidR="006E2120" w:rsidRPr="00C43543">
        <w:rPr>
          <w:szCs w:val="28"/>
          <w14:ligatures w14:val="standardContextual"/>
        </w:rPr>
        <w:t xml:space="preserve">, 389 P.3d 531 </w:t>
      </w:r>
      <w:r w:rsidRPr="00C43543">
        <w:rPr>
          <w:szCs w:val="28"/>
          <w14:ligatures w14:val="standardContextual"/>
        </w:rPr>
        <w:t>(2017)</w:t>
      </w:r>
      <w:r w:rsidR="00C06DE6" w:rsidRPr="00C43543">
        <w:rPr>
          <w:szCs w:val="28"/>
          <w14:ligatures w14:val="standardContextual"/>
        </w:rPr>
        <w:fldChar w:fldCharType="begin"/>
      </w:r>
      <w:r w:rsidR="00C06DE6" w:rsidRPr="00C43543">
        <w:rPr>
          <w:szCs w:val="28"/>
          <w14:ligatures w14:val="standardContextual"/>
        </w:rPr>
        <w:instrText xml:space="preserve"> TA \l "</w:instrText>
      </w:r>
      <w:r w:rsidR="00C06DE6" w:rsidRPr="00C43543">
        <w:rPr>
          <w:i/>
          <w:iCs/>
          <w:szCs w:val="28"/>
          <w14:ligatures w14:val="standardContextual"/>
        </w:rPr>
        <w:instrText>Wilcox v. Basehore</w:instrText>
      </w:r>
      <w:r w:rsidR="00C06DE6" w:rsidRPr="00C43543">
        <w:rPr>
          <w:szCs w:val="28"/>
          <w14:ligatures w14:val="standardContextual"/>
        </w:rPr>
        <w:instrText>,</w:instrText>
      </w:r>
      <w:r w:rsidR="00C06DE6" w:rsidRPr="00C43543">
        <w:rPr>
          <w:szCs w:val="28"/>
          <w14:ligatures w14:val="standardContextual"/>
        </w:rPr>
        <w:br/>
        <w:instrText xml:space="preserve">187 Wn.2d 772, 389 P.3d 531 (2017)" \s "Wilcox v. Basehore, 187 Wn.2d 772" \c 1 </w:instrText>
      </w:r>
      <w:r w:rsidR="00C06DE6"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accord</w:t>
      </w:r>
      <w:r w:rsidRPr="00C43543">
        <w:rPr>
          <w:szCs w:val="28"/>
          <w14:ligatures w14:val="standardContextual"/>
        </w:rPr>
        <w:t xml:space="preserve"> </w:t>
      </w:r>
      <w:r w:rsidRPr="00C43543">
        <w:rPr>
          <w:i/>
          <w:iCs/>
          <w:szCs w:val="28"/>
          <w14:ligatures w14:val="standardContextual"/>
        </w:rPr>
        <w:t>Blanks</w:t>
      </w:r>
      <w:r w:rsidRPr="00C43543">
        <w:rPr>
          <w:szCs w:val="28"/>
          <w14:ligatures w14:val="standardContextual"/>
        </w:rPr>
        <w:t>, 450 S.W.3d at 402</w:t>
      </w:r>
      <w:r w:rsidR="00C06DE6" w:rsidRPr="00C43543">
        <w:rPr>
          <w:szCs w:val="28"/>
          <w14:ligatures w14:val="standardContextual"/>
        </w:rPr>
        <w:fldChar w:fldCharType="begin"/>
      </w:r>
      <w:r w:rsidR="00C06DE6" w:rsidRPr="00C43543">
        <w:rPr>
          <w:szCs w:val="28"/>
          <w14:ligatures w14:val="standardContextual"/>
        </w:rPr>
        <w:instrText xml:space="preserve"> TA \s "Blanks v. Fluor, 450 S.W.3d 308" </w:instrText>
      </w:r>
      <w:r w:rsidR="00C06DE6" w:rsidRPr="00C43543">
        <w:rPr>
          <w:szCs w:val="28"/>
          <w14:ligatures w14:val="standardContextual"/>
        </w:rPr>
        <w:fldChar w:fldCharType="end"/>
      </w:r>
      <w:r w:rsidRPr="00C43543">
        <w:rPr>
          <w:szCs w:val="28"/>
          <w14:ligatures w14:val="standardContextual"/>
        </w:rPr>
        <w:t xml:space="preserve"> (“Defendants did not raise this [punitive-damages] argument below, so “it is not preserved for appeal.”). </w:t>
      </w:r>
    </w:p>
    <w:p w14:paraId="2B491FA2" w14:textId="77777777" w:rsidR="00CF0162" w:rsidRPr="00C43543" w:rsidRDefault="00CF0162" w:rsidP="00CF0162">
      <w:pPr>
        <w:pStyle w:val="BodyText"/>
        <w:rPr>
          <w:szCs w:val="28"/>
          <w14:ligatures w14:val="standardContextual"/>
        </w:rPr>
      </w:pPr>
      <w:r w:rsidRPr="00C43543">
        <w:rPr>
          <w:szCs w:val="28"/>
          <w14:ligatures w14:val="standardContextual"/>
        </w:rPr>
        <w:t xml:space="preserve">More fundamentally, the argument is just wrong. Ample evidence supports the finding that Monsanto knew about the dangers of PCBs in light fixtures in the 1960s and 70s. An internal </w:t>
      </w:r>
      <w:r w:rsidRPr="00C43543">
        <w:rPr>
          <w:szCs w:val="28"/>
          <w14:ligatures w14:val="standardContextual"/>
        </w:rPr>
        <w:lastRenderedPageBreak/>
        <w:t xml:space="preserve">memo from this period stated that it was “just as well” that “the general public is not even aware that PCBs are in their [light] fixtures,” because they’d “undoubtedly become very emotional—even panic—if they found out [there] was a ‘cancer-causing’ agent hanging over their heads.” P-2531. By any measure, that is direct evidence of Monsanto’s knowledge. </w:t>
      </w:r>
    </w:p>
    <w:p w14:paraId="2F4F4E7D" w14:textId="214C16A7" w:rsidR="00CF0162" w:rsidRPr="00C43543" w:rsidRDefault="005157C9" w:rsidP="00620589">
      <w:pPr>
        <w:pStyle w:val="BodyText"/>
        <w:tabs>
          <w:tab w:val="left" w:pos="4590"/>
        </w:tabs>
        <w:rPr>
          <w:szCs w:val="28"/>
          <w14:ligatures w14:val="standardContextual"/>
        </w:rPr>
      </w:pPr>
      <w:r w:rsidRPr="00C43543">
        <w:rPr>
          <w:szCs w:val="28"/>
          <w14:ligatures w14:val="standardContextual"/>
        </w:rPr>
        <w:t xml:space="preserve">Other evidence, moreover, indicates that Monsanto had long been aware of these dangers. </w:t>
      </w:r>
      <w:r w:rsidRPr="00C43543">
        <w:rPr>
          <w:i/>
          <w:iCs/>
          <w:szCs w:val="28"/>
          <w14:ligatures w14:val="standardContextual"/>
        </w:rPr>
        <w:t xml:space="preserve">See </w:t>
      </w:r>
      <w:r w:rsidRPr="00C43543">
        <w:rPr>
          <w:szCs w:val="28"/>
          <w14:ligatures w14:val="standardContextual"/>
        </w:rPr>
        <w:t xml:space="preserve">P-145 at 1 (1955: “We know </w:t>
      </w:r>
      <w:proofErr w:type="spellStart"/>
      <w:r w:rsidRPr="00C43543">
        <w:rPr>
          <w:szCs w:val="28"/>
          <w14:ligatures w14:val="standardContextual"/>
        </w:rPr>
        <w:t>Aroclors</w:t>
      </w:r>
      <w:proofErr w:type="spellEnd"/>
      <w:r w:rsidRPr="00C43543">
        <w:rPr>
          <w:szCs w:val="28"/>
          <w14:ligatures w14:val="standardContextual"/>
        </w:rPr>
        <w:t xml:space="preserve"> are toxic.”); P-150 at 10 (1956: PCB inhalation is “usually followed by systemic poisoning”); Tr. 890; P-162 (1957: Navy says PCBs </w:t>
      </w:r>
      <w:r w:rsidR="00FC31BF" w:rsidRPr="00C43543">
        <w:rPr>
          <w:szCs w:val="28"/>
          <w14:ligatures w14:val="standardContextual"/>
        </w:rPr>
        <w:t xml:space="preserve">are </w:t>
      </w:r>
      <w:r w:rsidRPr="00C43543">
        <w:rPr>
          <w:szCs w:val="28"/>
          <w14:ligatures w14:val="standardContextual"/>
        </w:rPr>
        <w:t xml:space="preserve">“just too toxic for use” given risk of inhalation after leakage); P-241 at 19 (1966: PCB inhalation is highly toxic and “extreme caution should be exercised”); P-653 at 57 (1969: “real alarming” study showing how “toxic” even “small amounts” of PCBs were); P-360 at 27, 34 (1969: It would “be less than honest” to suggest that the scientific data will be “favorable regarding </w:t>
      </w:r>
      <w:proofErr w:type="spellStart"/>
      <w:r w:rsidRPr="00C43543">
        <w:rPr>
          <w:szCs w:val="28"/>
          <w14:ligatures w14:val="standardContextual"/>
        </w:rPr>
        <w:t>Aroclor</w:t>
      </w:r>
      <w:proofErr w:type="spellEnd"/>
      <w:r w:rsidRPr="00C43543">
        <w:rPr>
          <w:szCs w:val="28"/>
          <w14:ligatures w14:val="standardContextual"/>
        </w:rPr>
        <w:t xml:space="preserve"> 1242,” and discussing the possibility of a “complete ban[] of these products”); P-307 at 1 (1969: “[I]t only seems a matter of time until the regulatory agencies will be looking down our throats regarding the use of this material.”); P-350 at 7, 25 (1969: PCBs are “‘moderately’” </w:t>
      </w:r>
      <w:r w:rsidRPr="00C43543">
        <w:rPr>
          <w:szCs w:val="28"/>
          <w14:ligatures w14:val="standardContextual"/>
        </w:rPr>
        <w:lastRenderedPageBreak/>
        <w:t>“toxic to man” and “persistent,” and “the rate of degradation is extremely low.”)</w:t>
      </w:r>
      <w:r w:rsidRPr="00C43543">
        <w:rPr>
          <w:i/>
          <w:iCs/>
          <w:szCs w:val="28"/>
          <w14:ligatures w14:val="standardContextual"/>
        </w:rPr>
        <w:t>.</w:t>
      </w:r>
    </w:p>
    <w:p w14:paraId="1082D393" w14:textId="6C6FB09C" w:rsidR="00CF0162" w:rsidRPr="00C43543" w:rsidRDefault="00CF0162" w:rsidP="00CF0162">
      <w:pPr>
        <w:pStyle w:val="BodyText"/>
        <w:rPr>
          <w:szCs w:val="28"/>
          <w14:ligatures w14:val="standardContextual"/>
        </w:rPr>
      </w:pPr>
      <w:r w:rsidRPr="00C43543">
        <w:rPr>
          <w:szCs w:val="28"/>
          <w14:ligatures w14:val="standardContextual"/>
        </w:rPr>
        <w:t xml:space="preserve">In addition, throughout this period, Monsanto “chose not to conduct chronic toxicity testing” to “avoid developing data which would confirm what [it] already knew.” </w:t>
      </w:r>
      <w:r w:rsidR="00FC31BF" w:rsidRPr="00C43543">
        <w:rPr>
          <w:szCs w:val="28"/>
          <w14:ligatures w14:val="standardContextual"/>
        </w:rPr>
        <w:t xml:space="preserve">CP 16798. </w:t>
      </w:r>
      <w:r w:rsidRPr="00C43543">
        <w:rPr>
          <w:szCs w:val="28"/>
          <w14:ligatures w14:val="standardContextual"/>
        </w:rPr>
        <w:t xml:space="preserve">This evidence provides further proof of Monsanto’s knowledge of the dangers. </w:t>
      </w:r>
      <w:r w:rsidRPr="00C43543">
        <w:rPr>
          <w:i/>
          <w:iCs/>
          <w:szCs w:val="28"/>
          <w14:ligatures w14:val="standardContextual"/>
        </w:rPr>
        <w:t>See Global-Tech Appliances, Inc. v. SEB S.A.</w:t>
      </w:r>
      <w:r w:rsidRPr="00C43543">
        <w:rPr>
          <w:szCs w:val="28"/>
          <w14:ligatures w14:val="standardContextual"/>
        </w:rPr>
        <w:t>, 563 U.S. 754, 766 (2011)</w:t>
      </w:r>
      <w:r w:rsidR="007E1DBD" w:rsidRPr="00C43543">
        <w:rPr>
          <w:szCs w:val="28"/>
          <w14:ligatures w14:val="standardContextual"/>
        </w:rPr>
        <w:fldChar w:fldCharType="begin"/>
      </w:r>
      <w:r w:rsidR="007E1DBD" w:rsidRPr="00C43543">
        <w:rPr>
          <w:szCs w:val="28"/>
          <w14:ligatures w14:val="standardContextual"/>
        </w:rPr>
        <w:instrText xml:space="preserve"> TA \l "</w:instrText>
      </w:r>
      <w:r w:rsidR="007E1DBD" w:rsidRPr="00C43543">
        <w:rPr>
          <w:i/>
          <w:iCs/>
          <w:szCs w:val="28"/>
          <w14:ligatures w14:val="standardContextual"/>
        </w:rPr>
        <w:instrText>Global-Tech Appliances, Inc. v. SEB S.A.</w:instrText>
      </w:r>
      <w:r w:rsidR="007E1DBD" w:rsidRPr="00C43543">
        <w:rPr>
          <w:szCs w:val="28"/>
          <w14:ligatures w14:val="standardContextual"/>
        </w:rPr>
        <w:instrText>,</w:instrText>
      </w:r>
      <w:r w:rsidR="007E1DBD" w:rsidRPr="00C43543">
        <w:rPr>
          <w:szCs w:val="28"/>
          <w14:ligatures w14:val="standardContextual"/>
        </w:rPr>
        <w:br/>
        <w:instrText xml:space="preserve">63 U.S. 754 (2011)" \s "Global-Tech v. SEB, 563 U.S. 754" \c 1 </w:instrText>
      </w:r>
      <w:r w:rsidR="007E1DBD" w:rsidRPr="00C43543">
        <w:rPr>
          <w:szCs w:val="28"/>
          <w14:ligatures w14:val="standardContextual"/>
        </w:rPr>
        <w:fldChar w:fldCharType="end"/>
      </w:r>
      <w:r w:rsidRPr="00C43543">
        <w:rPr>
          <w:szCs w:val="28"/>
          <w14:ligatures w14:val="standardContextual"/>
        </w:rPr>
        <w:t xml:space="preserve"> (“[P]</w:t>
      </w:r>
      <w:proofErr w:type="spellStart"/>
      <w:r w:rsidRPr="00C43543">
        <w:rPr>
          <w:szCs w:val="28"/>
          <w14:ligatures w14:val="standardContextual"/>
        </w:rPr>
        <w:t>ersons</w:t>
      </w:r>
      <w:proofErr w:type="spellEnd"/>
      <w:r w:rsidRPr="00C43543">
        <w:rPr>
          <w:szCs w:val="28"/>
          <w14:ligatures w14:val="standardContextual"/>
        </w:rPr>
        <w:t xml:space="preserve"> who know enough to blind themselves to direct proof of critical facts in effect have actual knowledge of those facts.”).</w:t>
      </w:r>
    </w:p>
    <w:p w14:paraId="05FB70CB" w14:textId="2AA5CF53" w:rsidR="00CF0162" w:rsidRPr="00C43543" w:rsidRDefault="00CF0162" w:rsidP="00CF0162">
      <w:pPr>
        <w:pStyle w:val="BodyText"/>
        <w:rPr>
          <w:szCs w:val="28"/>
          <w14:ligatures w14:val="standardContextual"/>
        </w:rPr>
      </w:pPr>
      <w:r w:rsidRPr="00C43543">
        <w:rPr>
          <w:szCs w:val="28"/>
          <w14:ligatures w14:val="standardContextual"/>
        </w:rPr>
        <w:t>Taken together, this is more than enough evidence to show that Monsanto knew about the dangers of PCBs in light fixtures in the 1960s and 70s.</w:t>
      </w:r>
      <w:r w:rsidRPr="00C43543">
        <w:rPr>
          <w:i/>
          <w:iCs/>
          <w:szCs w:val="28"/>
          <w14:ligatures w14:val="standardContextual"/>
        </w:rPr>
        <w:t xml:space="preserve"> See </w:t>
      </w:r>
      <w:proofErr w:type="spellStart"/>
      <w:r w:rsidRPr="00C43543">
        <w:rPr>
          <w:i/>
          <w:iCs/>
          <w:szCs w:val="28"/>
          <w14:ligatures w14:val="standardContextual"/>
        </w:rPr>
        <w:t>Poage</w:t>
      </w:r>
      <w:proofErr w:type="spellEnd"/>
      <w:r w:rsidRPr="00C43543">
        <w:rPr>
          <w:szCs w:val="28"/>
          <w14:ligatures w14:val="standardContextual"/>
        </w:rPr>
        <w:t>, 523 S.W.3d at 519-20</w:t>
      </w:r>
      <w:r w:rsidR="007E1DBD" w:rsidRPr="00C43543">
        <w:rPr>
          <w:szCs w:val="28"/>
          <w14:ligatures w14:val="standardContextual"/>
        </w:rPr>
        <w:fldChar w:fldCharType="begin"/>
      </w:r>
      <w:r w:rsidR="007E1DBD" w:rsidRPr="00C43543">
        <w:rPr>
          <w:szCs w:val="28"/>
          <w14:ligatures w14:val="standardContextual"/>
        </w:rPr>
        <w:instrText xml:space="preserve"> TA \s "Poage v. Crane, 523 S.W.3d 496" </w:instrText>
      </w:r>
      <w:r w:rsidR="007E1DBD" w:rsidRPr="00C43543">
        <w:rPr>
          <w:szCs w:val="28"/>
          <w14:ligatures w14:val="standardContextual"/>
        </w:rPr>
        <w:fldChar w:fldCharType="end"/>
      </w:r>
      <w:r w:rsidRPr="00C43543">
        <w:rPr>
          <w:szCs w:val="28"/>
          <w14:ligatures w14:val="standardContextual"/>
        </w:rPr>
        <w:t xml:space="preserve"> (finding sufficient evidence based on defendant’s “general knowledge of the dangers of asbestos” and “circumstantial evidence” that it had “knowledge that there was a ‘high probability’ using [its products] would result in injury”); </w:t>
      </w:r>
      <w:r w:rsidRPr="00C43543">
        <w:rPr>
          <w:i/>
          <w:iCs/>
          <w:szCs w:val="28"/>
          <w14:ligatures w14:val="standardContextual"/>
        </w:rPr>
        <w:t>Ingham</w:t>
      </w:r>
      <w:r w:rsidRPr="00C43543">
        <w:rPr>
          <w:szCs w:val="28"/>
          <w14:ligatures w14:val="standardContextual"/>
        </w:rPr>
        <w:t>, 608 S.W.3d at 71</w:t>
      </w:r>
      <w:r w:rsidR="006E2120" w:rsidRPr="00C43543">
        <w:rPr>
          <w:szCs w:val="28"/>
          <w14:ligatures w14:val="standardContextual"/>
        </w:rPr>
        <w:t>5</w:t>
      </w:r>
      <w:r w:rsidRPr="00C43543">
        <w:rPr>
          <w:szCs w:val="28"/>
          <w14:ligatures w14:val="standardContextual"/>
        </w:rPr>
        <w:t>-19</w:t>
      </w:r>
      <w:r w:rsidR="007E1DBD" w:rsidRPr="00C43543">
        <w:rPr>
          <w:szCs w:val="28"/>
          <w14:ligatures w14:val="standardContextual"/>
        </w:rPr>
        <w:fldChar w:fldCharType="begin"/>
      </w:r>
      <w:r w:rsidR="007E1DBD" w:rsidRPr="00C43543">
        <w:rPr>
          <w:szCs w:val="28"/>
          <w14:ligatures w14:val="standardContextual"/>
        </w:rPr>
        <w:instrText xml:space="preserve"> TA \s "Ingham v. J&amp;J, 608 S.W.3d 663" </w:instrText>
      </w:r>
      <w:r w:rsidR="007E1DBD" w:rsidRPr="00C43543">
        <w:rPr>
          <w:szCs w:val="28"/>
          <w14:ligatures w14:val="standardContextual"/>
        </w:rPr>
        <w:fldChar w:fldCharType="end"/>
      </w:r>
      <w:r w:rsidRPr="00C43543">
        <w:rPr>
          <w:szCs w:val="28"/>
          <w14:ligatures w14:val="standardContextual"/>
        </w:rPr>
        <w:t xml:space="preserve"> (finding sufficient evidence because a 1969 memo noted that the product contained asbestos, </w:t>
      </w:r>
      <w:r w:rsidRPr="00C43543">
        <w:rPr>
          <w:szCs w:val="28"/>
          <w14:ligatures w14:val="standardContextual"/>
        </w:rPr>
        <w:lastRenderedPageBreak/>
        <w:t>which “could be dangerous,” and subsequent evidence confirmed defendants’ knowledge of this “potential safety hazard”).</w:t>
      </w:r>
      <w:r w:rsidRPr="00C43543">
        <w:rPr>
          <w:rStyle w:val="FootnoteReference"/>
          <w:szCs w:val="28"/>
          <w14:ligatures w14:val="standardContextual"/>
        </w:rPr>
        <w:footnoteReference w:id="32"/>
      </w:r>
      <w:r w:rsidRPr="00C43543">
        <w:rPr>
          <w:szCs w:val="28"/>
          <w14:ligatures w14:val="standardContextual"/>
        </w:rPr>
        <w:t xml:space="preserve"> </w:t>
      </w:r>
    </w:p>
    <w:p w14:paraId="1A22CCAD" w14:textId="6DCCD580" w:rsidR="00CF0162" w:rsidRPr="00C43543" w:rsidRDefault="00CF0162" w:rsidP="00CF0162">
      <w:pPr>
        <w:pStyle w:val="BodyText"/>
        <w:rPr>
          <w:szCs w:val="28"/>
          <w14:ligatures w14:val="standardContextual"/>
        </w:rPr>
      </w:pPr>
      <w:r w:rsidRPr="00C43543">
        <w:rPr>
          <w:szCs w:val="28"/>
          <w14:ligatures w14:val="standardContextual"/>
        </w:rPr>
        <w:t xml:space="preserve">Nor was the jury required to credit Monsanto’s argument (at 221-24) that the dangers of PCBs were outweighed by various supposed benefits. Monsanto’s own cases make clear that Missouri “allow[s] the jury to make the ultimate determination” whether a product is unreasonably dangerous. </w:t>
      </w:r>
      <w:r w:rsidRPr="00C43543">
        <w:rPr>
          <w:i/>
          <w:iCs/>
          <w:szCs w:val="28"/>
          <w14:ligatures w14:val="standardContextual"/>
        </w:rPr>
        <w:t>Drabik v. Stanley-Bostitch, Inc.</w:t>
      </w:r>
      <w:r w:rsidRPr="00C43543">
        <w:rPr>
          <w:szCs w:val="28"/>
          <w14:ligatures w14:val="standardContextual"/>
        </w:rPr>
        <w:t>, 997 F.2d 496, 506 (8th Cir. 1993)</w:t>
      </w:r>
      <w:r w:rsidR="007E1DBD" w:rsidRPr="00C43543">
        <w:rPr>
          <w:szCs w:val="28"/>
          <w14:ligatures w14:val="standardContextual"/>
        </w:rPr>
        <w:fldChar w:fldCharType="begin"/>
      </w:r>
      <w:r w:rsidR="007E1DBD" w:rsidRPr="00C43543">
        <w:rPr>
          <w:szCs w:val="28"/>
          <w14:ligatures w14:val="standardContextual"/>
        </w:rPr>
        <w:instrText xml:space="preserve"> TA \l "</w:instrText>
      </w:r>
      <w:r w:rsidR="007E1DBD" w:rsidRPr="00C43543">
        <w:rPr>
          <w:i/>
          <w:iCs/>
          <w:szCs w:val="28"/>
          <w14:ligatures w14:val="standardContextual"/>
        </w:rPr>
        <w:instrText>Drabik v. Stanley-Bostitch, Inc.</w:instrText>
      </w:r>
      <w:r w:rsidR="007E1DBD" w:rsidRPr="00C43543">
        <w:rPr>
          <w:szCs w:val="28"/>
          <w14:ligatures w14:val="standardContextual"/>
        </w:rPr>
        <w:instrText>,</w:instrText>
      </w:r>
      <w:r w:rsidR="007E1DBD" w:rsidRPr="00C43543">
        <w:rPr>
          <w:szCs w:val="28"/>
          <w14:ligatures w14:val="standardContextual"/>
        </w:rPr>
        <w:br/>
        <w:instrText xml:space="preserve">997 F.2d 496 (8th Cir. 1993)" \s "Drabik v. Stanley-Bostitch, 997 F.2d 496" \c 1 </w:instrText>
      </w:r>
      <w:r w:rsidR="007E1DBD"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Moore v. Ford Motor Co.</w:t>
      </w:r>
      <w:r w:rsidRPr="00C43543">
        <w:rPr>
          <w:szCs w:val="28"/>
          <w14:ligatures w14:val="standardContextual"/>
        </w:rPr>
        <w:t>, 332 S.W.3d 749, 756 (Mo. 2011)</w:t>
      </w:r>
      <w:r w:rsidR="007E1DBD" w:rsidRPr="00C43543">
        <w:rPr>
          <w:szCs w:val="28"/>
          <w14:ligatures w14:val="standardContextual"/>
        </w:rPr>
        <w:fldChar w:fldCharType="begin"/>
      </w:r>
      <w:r w:rsidR="007E1DBD" w:rsidRPr="00C43543">
        <w:rPr>
          <w:szCs w:val="28"/>
          <w14:ligatures w14:val="standardContextual"/>
        </w:rPr>
        <w:instrText xml:space="preserve"> TA \l "</w:instrText>
      </w:r>
      <w:r w:rsidR="007E1DBD" w:rsidRPr="00C43543">
        <w:rPr>
          <w:i/>
          <w:iCs/>
          <w:szCs w:val="28"/>
          <w14:ligatures w14:val="standardContextual"/>
        </w:rPr>
        <w:instrText>Moore v. Ford Motor Co.</w:instrText>
      </w:r>
      <w:r w:rsidR="007E1DBD" w:rsidRPr="00C43543">
        <w:rPr>
          <w:szCs w:val="28"/>
          <w14:ligatures w14:val="standardContextual"/>
        </w:rPr>
        <w:instrText>,</w:instrText>
      </w:r>
      <w:r w:rsidR="007E1DBD" w:rsidRPr="00C43543">
        <w:rPr>
          <w:szCs w:val="28"/>
          <w14:ligatures w14:val="standardContextual"/>
        </w:rPr>
        <w:br/>
        <w:instrText xml:space="preserve">332 S.W.3d 749 (Mo. 2011)" \s "Moore v. Ford, 332 S.W.3d 749" \c 1 </w:instrText>
      </w:r>
      <w:r w:rsidR="007E1DBD" w:rsidRPr="00C43543">
        <w:rPr>
          <w:szCs w:val="28"/>
          <w14:ligatures w14:val="standardContextual"/>
        </w:rPr>
        <w:fldChar w:fldCharType="end"/>
      </w:r>
      <w:r w:rsidRPr="00C43543">
        <w:rPr>
          <w:szCs w:val="28"/>
          <w14:ligatures w14:val="standardContextual"/>
        </w:rPr>
        <w:t xml:space="preserve"> (“Under our model of strict tort liability the concept of unreasonable danger” is “presented to the jury as an ultimate issue without further definition.”). Substantial evidence </w:t>
      </w:r>
      <w:r w:rsidRPr="00C43543">
        <w:rPr>
          <w:szCs w:val="28"/>
          <w14:ligatures w14:val="standardContextual"/>
        </w:rPr>
        <w:lastRenderedPageBreak/>
        <w:t xml:space="preserve">supports the jury’s determination here. </w:t>
      </w:r>
      <w:r w:rsidRPr="00C43543">
        <w:rPr>
          <w:i/>
          <w:iCs/>
          <w:szCs w:val="28"/>
          <w14:ligatures w14:val="standardContextual"/>
        </w:rPr>
        <w:t xml:space="preserve">See </w:t>
      </w:r>
      <w:r w:rsidRPr="00C43543">
        <w:rPr>
          <w:szCs w:val="28"/>
          <w14:ligatures w14:val="standardContextual"/>
        </w:rPr>
        <w:t>P-248 at 8-10; P-273 at 15; P-836; P-3696 at 31; Tr. 617, 630-31, 666-67.</w:t>
      </w:r>
    </w:p>
    <w:p w14:paraId="4412D3C7" w14:textId="2F6CAF91" w:rsidR="00CF0162" w:rsidRPr="00C43543" w:rsidRDefault="00CF0162" w:rsidP="00CF0162">
      <w:pPr>
        <w:pStyle w:val="BodyText"/>
        <w:rPr>
          <w:szCs w:val="28"/>
          <w14:ligatures w14:val="standardContextual"/>
        </w:rPr>
      </w:pPr>
      <w:r w:rsidRPr="00C43543">
        <w:rPr>
          <w:i/>
          <w:iCs/>
          <w:szCs w:val="28"/>
          <w14:ligatures w14:val="standardContextual"/>
        </w:rPr>
        <w:t>Second</w:t>
      </w:r>
      <w:r w:rsidRPr="00C43543">
        <w:rPr>
          <w:szCs w:val="28"/>
          <w14:ligatures w14:val="standardContextual"/>
        </w:rPr>
        <w:t xml:space="preserve">, Monsanto claims (at 224) that punitive damages are improper because it “took steps to mitigate or eliminate potential product risks through warnings or design changes.” </w:t>
      </w:r>
      <w:r w:rsidR="00EC39F7" w:rsidRPr="00C43543">
        <w:rPr>
          <w:szCs w:val="28"/>
          <w14:ligatures w14:val="standardContextual"/>
        </w:rPr>
        <w:t>But again, t</w:t>
      </w:r>
      <w:r w:rsidRPr="00C43543">
        <w:rPr>
          <w:szCs w:val="28"/>
          <w14:ligatures w14:val="standardContextual"/>
        </w:rPr>
        <w:t xml:space="preserve">he jury was not required to agree. </w:t>
      </w:r>
    </w:p>
    <w:p w14:paraId="21534559" w14:textId="61240FB5" w:rsidR="00CF0162" w:rsidRPr="00C43543" w:rsidRDefault="00CF0162" w:rsidP="00CF0162">
      <w:pPr>
        <w:pStyle w:val="BodyText"/>
        <w:rPr>
          <w:szCs w:val="28"/>
          <w14:ligatures w14:val="standardContextual"/>
        </w:rPr>
      </w:pPr>
      <w:r w:rsidRPr="00C43543">
        <w:rPr>
          <w:szCs w:val="28"/>
          <w14:ligatures w14:val="standardContextual"/>
        </w:rPr>
        <w:t xml:space="preserve">Monsanto’s cases (at 225 n.41) are all easily distinguishable. The courts in those cases “did not find that merely attempting to provide additional warnings was sufficient to negate a claim for punitive damages” notwithstanding other record evidence. </w:t>
      </w:r>
      <w:proofErr w:type="spellStart"/>
      <w:r w:rsidRPr="00C43543">
        <w:rPr>
          <w:i/>
          <w:iCs/>
          <w:szCs w:val="28"/>
          <w14:ligatures w14:val="standardContextual"/>
        </w:rPr>
        <w:t>Siems</w:t>
      </w:r>
      <w:proofErr w:type="spellEnd"/>
      <w:r w:rsidRPr="00C43543">
        <w:rPr>
          <w:i/>
          <w:iCs/>
          <w:szCs w:val="28"/>
          <w14:ligatures w14:val="standardContextual"/>
        </w:rPr>
        <w:t xml:space="preserve"> v. </w:t>
      </w:r>
      <w:proofErr w:type="spellStart"/>
      <w:r w:rsidRPr="00C43543">
        <w:rPr>
          <w:i/>
          <w:iCs/>
          <w:szCs w:val="28"/>
          <w14:ligatures w14:val="standardContextual"/>
        </w:rPr>
        <w:t>Bumbo</w:t>
      </w:r>
      <w:proofErr w:type="spellEnd"/>
      <w:r w:rsidRPr="00C43543">
        <w:rPr>
          <w:i/>
          <w:iCs/>
          <w:szCs w:val="28"/>
          <w14:ligatures w14:val="standardContextual"/>
        </w:rPr>
        <w:t xml:space="preserve"> Int’l Trust</w:t>
      </w:r>
      <w:r w:rsidRPr="00C43543">
        <w:rPr>
          <w:szCs w:val="28"/>
          <w14:ligatures w14:val="standardContextual"/>
        </w:rPr>
        <w:t>, 2014 WL 4954068, *5 (W.D. Mo. Oct. 2, 2014)</w:t>
      </w:r>
      <w:r w:rsidR="00CC4C3C" w:rsidRPr="00C43543">
        <w:rPr>
          <w:szCs w:val="28"/>
          <w14:ligatures w14:val="standardContextual"/>
        </w:rPr>
        <w:fldChar w:fldCharType="begin"/>
      </w:r>
      <w:r w:rsidR="00CC4C3C" w:rsidRPr="00C43543">
        <w:rPr>
          <w:szCs w:val="28"/>
          <w14:ligatures w14:val="standardContextual"/>
        </w:rPr>
        <w:instrText xml:space="preserve"> TA \l "</w:instrText>
      </w:r>
      <w:r w:rsidR="00CC4C3C" w:rsidRPr="00C43543">
        <w:rPr>
          <w:i/>
          <w:iCs/>
          <w:szCs w:val="28"/>
          <w14:ligatures w14:val="standardContextual"/>
        </w:rPr>
        <w:instrText>Siems v. Bumbo International Trust</w:instrText>
      </w:r>
      <w:r w:rsidR="00CC4C3C" w:rsidRPr="00C43543">
        <w:rPr>
          <w:szCs w:val="28"/>
          <w14:ligatures w14:val="standardContextual"/>
        </w:rPr>
        <w:instrText>,</w:instrText>
      </w:r>
      <w:r w:rsidR="00CC4C3C" w:rsidRPr="00C43543">
        <w:rPr>
          <w:szCs w:val="28"/>
          <w14:ligatures w14:val="standardContextual"/>
        </w:rPr>
        <w:br/>
        <w:instrText xml:space="preserve">2014 WL 4954068 (W.D. Mo. Oct. 2, 2014)" \s "Siems v. Bumbo, 2014 WL 4954068" \c 1 </w:instrText>
      </w:r>
      <w:r w:rsidR="00CC4C3C" w:rsidRPr="00C43543">
        <w:rPr>
          <w:szCs w:val="28"/>
          <w14:ligatures w14:val="standardContextual"/>
        </w:rPr>
        <w:fldChar w:fldCharType="end"/>
      </w:r>
      <w:r w:rsidRPr="00C43543">
        <w:rPr>
          <w:szCs w:val="28"/>
          <w14:ligatures w14:val="standardContextual"/>
        </w:rPr>
        <w:t xml:space="preserve"> (discussing </w:t>
      </w:r>
      <w:r w:rsidRPr="00C43543">
        <w:rPr>
          <w:i/>
          <w:iCs/>
          <w:szCs w:val="28"/>
          <w14:ligatures w14:val="standardContextual"/>
        </w:rPr>
        <w:t>Drabik</w:t>
      </w:r>
      <w:r w:rsidRPr="00C43543">
        <w:rPr>
          <w:szCs w:val="28"/>
          <w14:ligatures w14:val="standardContextual"/>
        </w:rPr>
        <w:t xml:space="preserve">). Instead, they carefully reviewed the evidence to determine whether it could support a finding that the defendant acted in conscious disregard of, or complete indifference to, the safety of others. The court in </w:t>
      </w:r>
      <w:r w:rsidRPr="00C43543">
        <w:rPr>
          <w:i/>
          <w:iCs/>
          <w:szCs w:val="28"/>
          <w14:ligatures w14:val="standardContextual"/>
        </w:rPr>
        <w:t>Drabik</w:t>
      </w:r>
      <w:r w:rsidRPr="00C43543">
        <w:rPr>
          <w:szCs w:val="28"/>
          <w14:ligatures w14:val="standardContextual"/>
        </w:rPr>
        <w:t xml:space="preserve">, for example, “found that punitive damages were not warranted because the manufacturer immediately made design changes, was complying with industry custom and </w:t>
      </w:r>
      <w:proofErr w:type="gramStart"/>
      <w:r w:rsidRPr="00C43543">
        <w:rPr>
          <w:szCs w:val="28"/>
          <w14:ligatures w14:val="standardContextual"/>
        </w:rPr>
        <w:t>standards[</w:t>
      </w:r>
      <w:proofErr w:type="gramEnd"/>
      <w:r w:rsidRPr="00C43543">
        <w:rPr>
          <w:szCs w:val="28"/>
          <w14:ligatures w14:val="standardContextual"/>
        </w:rPr>
        <w:t xml:space="preserve">,] and added explicit warnings to the product at issue.” </w:t>
      </w:r>
      <w:r w:rsidRPr="00C43543">
        <w:rPr>
          <w:i/>
          <w:iCs/>
          <w:szCs w:val="28"/>
          <w14:ligatures w14:val="standardContextual"/>
        </w:rPr>
        <w:t>Id.</w:t>
      </w:r>
      <w:r w:rsidR="00CC4C3C" w:rsidRPr="00C43543">
        <w:rPr>
          <w:szCs w:val="28"/>
          <w14:ligatures w14:val="standardContextual"/>
        </w:rPr>
        <w:fldChar w:fldCharType="begin"/>
      </w:r>
      <w:r w:rsidR="00CC4C3C" w:rsidRPr="00C43543">
        <w:rPr>
          <w:szCs w:val="28"/>
          <w14:ligatures w14:val="standardContextual"/>
        </w:rPr>
        <w:instrText xml:space="preserve"> TA \s "Siems v. Bumbo, 2014 WL 4954068" </w:instrText>
      </w:r>
      <w:r w:rsidR="00CC4C3C" w:rsidRPr="00C43543">
        <w:rPr>
          <w:szCs w:val="28"/>
          <w14:ligatures w14:val="standardContextual"/>
        </w:rPr>
        <w:fldChar w:fldCharType="end"/>
      </w:r>
      <w:r w:rsidRPr="00C43543">
        <w:rPr>
          <w:szCs w:val="28"/>
          <w14:ligatures w14:val="standardContextual"/>
        </w:rPr>
        <w:t>;</w:t>
      </w:r>
      <w:r w:rsidRPr="00C43543">
        <w:rPr>
          <w:i/>
          <w:iCs/>
          <w:szCs w:val="28"/>
          <w14:ligatures w14:val="standardContextual"/>
        </w:rPr>
        <w:t xml:space="preserve"> see also id.</w:t>
      </w:r>
      <w:r w:rsidR="00CC4C3C" w:rsidRPr="00C43543">
        <w:rPr>
          <w:i/>
          <w:iCs/>
          <w:szCs w:val="28"/>
          <w14:ligatures w14:val="standardContextual"/>
        </w:rPr>
        <w:fldChar w:fldCharType="begin"/>
      </w:r>
      <w:r w:rsidR="00CC4C3C" w:rsidRPr="00C43543">
        <w:rPr>
          <w:szCs w:val="28"/>
          <w14:ligatures w14:val="standardContextual"/>
        </w:rPr>
        <w:instrText xml:space="preserve"> TA \s "Siems v. Bumbo, 2014 WL 4954068" </w:instrText>
      </w:r>
      <w:r w:rsidR="00CC4C3C" w:rsidRPr="00C43543">
        <w:rPr>
          <w:i/>
          <w:iCs/>
          <w:szCs w:val="28"/>
          <w14:ligatures w14:val="standardContextual"/>
        </w:rPr>
        <w:fldChar w:fldCharType="end"/>
      </w:r>
      <w:r w:rsidRPr="00C43543">
        <w:rPr>
          <w:szCs w:val="28"/>
          <w14:ligatures w14:val="standardContextual"/>
        </w:rPr>
        <w:t xml:space="preserve"> (distinguishing </w:t>
      </w:r>
      <w:proofErr w:type="spellStart"/>
      <w:r w:rsidRPr="00C43543">
        <w:rPr>
          <w:i/>
          <w:iCs/>
          <w:szCs w:val="28"/>
          <w14:ligatures w14:val="standardContextual"/>
        </w:rPr>
        <w:t>Bhagvandoss</w:t>
      </w:r>
      <w:proofErr w:type="spellEnd"/>
      <w:r w:rsidRPr="00C43543">
        <w:rPr>
          <w:i/>
          <w:iCs/>
          <w:szCs w:val="28"/>
          <w14:ligatures w14:val="standardContextual"/>
        </w:rPr>
        <w:t xml:space="preserve"> v. Beiersdorf, Inc.</w:t>
      </w:r>
      <w:r w:rsidRPr="00C43543">
        <w:rPr>
          <w:szCs w:val="28"/>
          <w14:ligatures w14:val="standardContextual"/>
        </w:rPr>
        <w:t>, 723 S.W.2d 392 (Mo. 1987)</w:t>
      </w:r>
      <w:r w:rsidR="00CC4C3C" w:rsidRPr="00C43543">
        <w:rPr>
          <w:szCs w:val="28"/>
          <w14:ligatures w14:val="standardContextual"/>
        </w:rPr>
        <w:fldChar w:fldCharType="begin"/>
      </w:r>
      <w:r w:rsidR="00CC4C3C" w:rsidRPr="00C43543">
        <w:rPr>
          <w:szCs w:val="28"/>
          <w14:ligatures w14:val="standardContextual"/>
        </w:rPr>
        <w:instrText xml:space="preserve"> TA \l "</w:instrText>
      </w:r>
      <w:r w:rsidR="00CC4C3C" w:rsidRPr="00C43543">
        <w:rPr>
          <w:i/>
          <w:iCs/>
          <w:szCs w:val="28"/>
          <w14:ligatures w14:val="standardContextual"/>
        </w:rPr>
        <w:instrText>Bhagvandoss v. Beiersdorf, Inc.</w:instrText>
      </w:r>
      <w:r w:rsidR="00CC4C3C" w:rsidRPr="00C43543">
        <w:rPr>
          <w:szCs w:val="28"/>
          <w14:ligatures w14:val="standardContextual"/>
        </w:rPr>
        <w:instrText>,</w:instrText>
      </w:r>
      <w:r w:rsidR="00CC4C3C" w:rsidRPr="00C43543">
        <w:rPr>
          <w:szCs w:val="28"/>
          <w14:ligatures w14:val="standardContextual"/>
        </w:rPr>
        <w:br/>
        <w:instrText xml:space="preserve">723 S.W.2d 392 (Mo. 1987)" \s "Bhagvandoss, 23 S.W.2d 392" \c 1 </w:instrText>
      </w:r>
      <w:r w:rsidR="00CC4C3C" w:rsidRPr="00C43543">
        <w:rPr>
          <w:szCs w:val="28"/>
          <w14:ligatures w14:val="standardContextual"/>
        </w:rPr>
        <w:fldChar w:fldCharType="end"/>
      </w:r>
      <w:r w:rsidRPr="00C43543">
        <w:rPr>
          <w:szCs w:val="28"/>
          <w14:ligatures w14:val="standardContextual"/>
        </w:rPr>
        <w:t xml:space="preserve">, because “there was no other </w:t>
      </w:r>
      <w:r w:rsidRPr="00C43543">
        <w:rPr>
          <w:szCs w:val="28"/>
          <w14:ligatures w14:val="standardContextual"/>
        </w:rPr>
        <w:lastRenderedPageBreak/>
        <w:t xml:space="preserve">evidence presented to warrant a punitive damages award” besides “an inadequate warning”). Monsanto did nothing of the sort. </w:t>
      </w:r>
    </w:p>
    <w:p w14:paraId="129828D3" w14:textId="77777777" w:rsidR="00CF0162" w:rsidRPr="00C43543" w:rsidRDefault="00CF0162" w:rsidP="00FC3399">
      <w:pPr>
        <w:pStyle w:val="Heading3"/>
        <w:rPr>
          <w:rFonts w:ascii="Adobe Garamond Pro" w:hAnsi="Adobe Garamond Pro"/>
          <w14:ligatures w14:val="standardContextual"/>
        </w:rPr>
      </w:pPr>
      <w:bookmarkStart w:id="85" w:name="_Toc109728368"/>
      <w:r w:rsidRPr="00C43543">
        <w:rPr>
          <w:rFonts w:ascii="Adobe Garamond Pro" w:hAnsi="Adobe Garamond Pro"/>
          <w14:ligatures w14:val="standardContextual"/>
        </w:rPr>
        <w:t>The jury’s punitive-damages awards do not violate due process.</w:t>
      </w:r>
      <w:bookmarkEnd w:id="85"/>
    </w:p>
    <w:p w14:paraId="7262D0AF" w14:textId="0BD01245" w:rsidR="00CF0162" w:rsidRPr="00C43543" w:rsidRDefault="00CF0162" w:rsidP="00CF0162">
      <w:pPr>
        <w:pStyle w:val="BodyText"/>
        <w:rPr>
          <w:szCs w:val="28"/>
          <w14:ligatures w14:val="standardContextual"/>
        </w:rPr>
      </w:pPr>
      <w:r w:rsidRPr="00C43543">
        <w:rPr>
          <w:szCs w:val="28"/>
          <w14:ligatures w14:val="standardContextual"/>
        </w:rPr>
        <w:t xml:space="preserve">Monsanto’s final contention is that the Due Process Clause of the U.S. Constitution requires reduction of the punitive damages. In making this argument, Monsanto faces a high hurdle. “Punitive damages may properly be imposed to further a State’s legitimate interests in punishing unlawful conduct and deterring its repetition.” </w:t>
      </w:r>
      <w:r w:rsidRPr="00C43543">
        <w:rPr>
          <w:i/>
          <w:iCs/>
          <w:szCs w:val="28"/>
          <w14:ligatures w14:val="standardContextual"/>
        </w:rPr>
        <w:t>BMW of N. Am., Inc. v. Gore</w:t>
      </w:r>
      <w:r w:rsidRPr="00C43543">
        <w:rPr>
          <w:szCs w:val="28"/>
          <w14:ligatures w14:val="standardContextual"/>
        </w:rPr>
        <w:t>, 517 U.S. 559, 568 (1996)</w:t>
      </w:r>
      <w:r w:rsidR="00DD7B52" w:rsidRPr="00C43543">
        <w:rPr>
          <w:szCs w:val="28"/>
          <w14:ligatures w14:val="standardContextual"/>
        </w:rPr>
        <w:fldChar w:fldCharType="begin"/>
      </w:r>
      <w:r w:rsidR="00DD7B52" w:rsidRPr="00C43543">
        <w:rPr>
          <w:szCs w:val="28"/>
          <w14:ligatures w14:val="standardContextual"/>
        </w:rPr>
        <w:instrText xml:space="preserve"> TA \s "BMW v. Gore, 517 U.S. 559" </w:instrText>
      </w:r>
      <w:r w:rsidR="00DD7B52" w:rsidRPr="00C43543">
        <w:rPr>
          <w:szCs w:val="28"/>
          <w14:ligatures w14:val="standardContextual"/>
        </w:rPr>
        <w:fldChar w:fldCharType="end"/>
      </w:r>
      <w:r w:rsidRPr="00C43543">
        <w:rPr>
          <w:szCs w:val="28"/>
          <w14:ligatures w14:val="standardContextual"/>
        </w:rPr>
        <w:t>. An award goes too far “[o]</w:t>
      </w:r>
      <w:proofErr w:type="spellStart"/>
      <w:r w:rsidRPr="00C43543">
        <w:rPr>
          <w:szCs w:val="28"/>
          <w14:ligatures w14:val="standardContextual"/>
        </w:rPr>
        <w:t>nly</w:t>
      </w:r>
      <w:proofErr w:type="spellEnd"/>
      <w:r w:rsidRPr="00C43543">
        <w:rPr>
          <w:szCs w:val="28"/>
          <w14:ligatures w14:val="standardContextual"/>
        </w:rPr>
        <w:t xml:space="preserve"> when [it] can fairly be categorized as ‘grossly excessive,’” </w:t>
      </w:r>
      <w:r w:rsidRPr="00C43543">
        <w:rPr>
          <w:i/>
          <w:iCs/>
          <w:szCs w:val="28"/>
          <w14:ligatures w14:val="standardContextual"/>
        </w:rPr>
        <w:t>id.</w:t>
      </w:r>
      <w:r w:rsidRPr="00C43543">
        <w:rPr>
          <w:szCs w:val="28"/>
          <w14:ligatures w14:val="standardContextual"/>
        </w:rPr>
        <w:t xml:space="preserve">, such that it “furthers no legitimate purpose and constitutes an arbitrary deprivation of property,” </w:t>
      </w:r>
      <w:r w:rsidRPr="00C43543">
        <w:rPr>
          <w:i/>
          <w:iCs/>
          <w:szCs w:val="28"/>
          <w14:ligatures w14:val="standardContextual"/>
        </w:rPr>
        <w:t xml:space="preserve">State Farm Mut. </w:t>
      </w:r>
      <w:proofErr w:type="spellStart"/>
      <w:r w:rsidRPr="00C43543">
        <w:rPr>
          <w:i/>
          <w:iCs/>
          <w:szCs w:val="28"/>
          <w14:ligatures w14:val="standardContextual"/>
        </w:rPr>
        <w:t>Aut</w:t>
      </w:r>
      <w:proofErr w:type="spellEnd"/>
      <w:r w:rsidRPr="00C43543">
        <w:rPr>
          <w:i/>
          <w:iCs/>
          <w:szCs w:val="28"/>
          <w14:ligatures w14:val="standardContextual"/>
        </w:rPr>
        <w:t>. Ins. v. Campbell</w:t>
      </w:r>
      <w:r w:rsidRPr="00C43543">
        <w:rPr>
          <w:szCs w:val="28"/>
          <w14:ligatures w14:val="standardContextual"/>
        </w:rPr>
        <w:t>, 538 U.S. 408, 417 (2003)</w:t>
      </w:r>
      <w:r w:rsidR="00DD7B52" w:rsidRPr="00C43543">
        <w:rPr>
          <w:szCs w:val="28"/>
          <w14:ligatures w14:val="standardContextual"/>
        </w:rPr>
        <w:fldChar w:fldCharType="begin"/>
      </w:r>
      <w:r w:rsidR="00DD7B52" w:rsidRPr="00C43543">
        <w:rPr>
          <w:szCs w:val="28"/>
          <w14:ligatures w14:val="standardContextual"/>
        </w:rPr>
        <w:instrText xml:space="preserve"> TA \s "State Farm v. Campbell, 538 U.S. 408" </w:instrText>
      </w:r>
      <w:r w:rsidR="00DD7B52" w:rsidRPr="00C43543">
        <w:rPr>
          <w:szCs w:val="28"/>
          <w14:ligatures w14:val="standardContextual"/>
        </w:rPr>
        <w:fldChar w:fldCharType="end"/>
      </w:r>
      <w:r w:rsidRPr="00C43543">
        <w:rPr>
          <w:szCs w:val="28"/>
          <w14:ligatures w14:val="standardContextual"/>
        </w:rPr>
        <w:t xml:space="preserve">. </w:t>
      </w:r>
    </w:p>
    <w:p w14:paraId="53ECC5F4" w14:textId="3F3514D9" w:rsidR="00CF0162" w:rsidRPr="00C43543" w:rsidRDefault="00CF0162" w:rsidP="00CF0162">
      <w:pPr>
        <w:pStyle w:val="BodyText"/>
        <w:rPr>
          <w:szCs w:val="28"/>
          <w14:ligatures w14:val="standardContextual"/>
        </w:rPr>
      </w:pPr>
      <w:r w:rsidRPr="00C43543">
        <w:rPr>
          <w:szCs w:val="28"/>
          <w14:ligatures w14:val="standardContextual"/>
        </w:rPr>
        <w:t xml:space="preserve">The U.S. Supreme Court has found this standard met only in cases involving awards that were orders of magnitude greater than any actual or potential harm. </w:t>
      </w:r>
      <w:r w:rsidRPr="00C43543">
        <w:rPr>
          <w:i/>
          <w:iCs/>
          <w:szCs w:val="28"/>
          <w14:ligatures w14:val="standardContextual"/>
        </w:rPr>
        <w:t>See id.</w:t>
      </w:r>
      <w:r w:rsidRPr="00C43543">
        <w:rPr>
          <w:szCs w:val="28"/>
          <w14:ligatures w14:val="standardContextual"/>
        </w:rPr>
        <w:t xml:space="preserve"> at 426</w:t>
      </w:r>
      <w:r w:rsidR="00ED5637" w:rsidRPr="00C43543">
        <w:rPr>
          <w:szCs w:val="28"/>
          <w14:ligatures w14:val="standardContextual"/>
        </w:rPr>
        <w:fldChar w:fldCharType="begin"/>
      </w:r>
      <w:r w:rsidR="00ED5637" w:rsidRPr="00C43543">
        <w:rPr>
          <w:szCs w:val="28"/>
          <w14:ligatures w14:val="standardContextual"/>
        </w:rPr>
        <w:instrText xml:space="preserve"> TA \s "State Farm v. Campbell, 538 U.S. 408" </w:instrText>
      </w:r>
      <w:r w:rsidR="00ED5637" w:rsidRPr="00C43543">
        <w:rPr>
          <w:szCs w:val="28"/>
          <w14:ligatures w14:val="standardContextual"/>
        </w:rPr>
        <w:fldChar w:fldCharType="end"/>
      </w:r>
      <w:r w:rsidRPr="00C43543">
        <w:rPr>
          <w:szCs w:val="28"/>
          <w14:ligatures w14:val="standardContextual"/>
        </w:rPr>
        <w:t xml:space="preserve"> (145</w:t>
      </w:r>
      <w:r w:rsidR="00DF59B2">
        <w:rPr>
          <w:szCs w:val="28"/>
          <w14:ligatures w14:val="standardContextual"/>
        </w:rPr>
        <w:t>:</w:t>
      </w:r>
      <w:r w:rsidRPr="00C43543">
        <w:rPr>
          <w:szCs w:val="28"/>
          <w14:ligatures w14:val="standardContextual"/>
        </w:rPr>
        <w:t xml:space="preserve">1 ratio where defendant caused “only minor economic injuries” and “no physical injuries”); </w:t>
      </w:r>
      <w:r w:rsidRPr="00C43543">
        <w:rPr>
          <w:i/>
          <w:iCs/>
          <w:szCs w:val="28"/>
          <w14:ligatures w14:val="standardContextual"/>
        </w:rPr>
        <w:t>Gore</w:t>
      </w:r>
      <w:r w:rsidRPr="00C43543">
        <w:rPr>
          <w:szCs w:val="28"/>
          <w14:ligatures w14:val="standardContextual"/>
        </w:rPr>
        <w:t>, 517 U.S. at 582</w:t>
      </w:r>
      <w:r w:rsidR="00ED5637" w:rsidRPr="00C43543">
        <w:rPr>
          <w:szCs w:val="28"/>
          <w14:ligatures w14:val="standardContextual"/>
        </w:rPr>
        <w:fldChar w:fldCharType="begin"/>
      </w:r>
      <w:r w:rsidR="00ED5637" w:rsidRPr="00C43543">
        <w:rPr>
          <w:szCs w:val="28"/>
          <w14:ligatures w14:val="standardContextual"/>
        </w:rPr>
        <w:instrText xml:space="preserve"> TA \s "BMW v. Gore, 517 U.S. 559" </w:instrText>
      </w:r>
      <w:r w:rsidR="00ED5637" w:rsidRPr="00C43543">
        <w:rPr>
          <w:szCs w:val="28"/>
          <w14:ligatures w14:val="standardContextual"/>
        </w:rPr>
        <w:fldChar w:fldCharType="end"/>
      </w:r>
      <w:r w:rsidRPr="00C43543">
        <w:rPr>
          <w:szCs w:val="28"/>
          <w14:ligatures w14:val="standardContextual"/>
        </w:rPr>
        <w:t xml:space="preserve"> (500</w:t>
      </w:r>
      <w:r w:rsidR="00DF59B2">
        <w:rPr>
          <w:szCs w:val="28"/>
          <w14:ligatures w14:val="standardContextual"/>
        </w:rPr>
        <w:t>:</w:t>
      </w:r>
      <w:r w:rsidRPr="00C43543">
        <w:rPr>
          <w:szCs w:val="28"/>
          <w14:ligatures w14:val="standardContextual"/>
        </w:rPr>
        <w:t xml:space="preserve">1 ratio where defendant </w:t>
      </w:r>
      <w:r w:rsidRPr="00C43543">
        <w:rPr>
          <w:szCs w:val="28"/>
          <w14:ligatures w14:val="standardContextual"/>
        </w:rPr>
        <w:lastRenderedPageBreak/>
        <w:t>inflicted “purely economic harm” and “ev</w:t>
      </w:r>
      <w:r w:rsidR="006E2120" w:rsidRPr="00C43543">
        <w:rPr>
          <w:szCs w:val="28"/>
          <w14:ligatures w14:val="standardContextual"/>
        </w:rPr>
        <w:t>inced</w:t>
      </w:r>
      <w:r w:rsidRPr="00C43543">
        <w:rPr>
          <w:szCs w:val="28"/>
          <w14:ligatures w14:val="standardContextual"/>
        </w:rPr>
        <w:t xml:space="preserve"> no indifference to or reckless disregard for the health and safety of other”). </w:t>
      </w:r>
    </w:p>
    <w:p w14:paraId="3D730F90" w14:textId="5246FA27" w:rsidR="00CF0162" w:rsidRPr="00C43543" w:rsidRDefault="00CF0162" w:rsidP="00CF0162">
      <w:pPr>
        <w:pStyle w:val="BodyText"/>
        <w:rPr>
          <w:szCs w:val="28"/>
          <w14:ligatures w14:val="standardContextual"/>
        </w:rPr>
      </w:pPr>
      <w:r w:rsidRPr="00C43543">
        <w:rPr>
          <w:szCs w:val="28"/>
          <w14:ligatures w14:val="standardContextual"/>
        </w:rPr>
        <w:t xml:space="preserve">By contrast, the Court has consistently rejected challenges to awards that were “not more than 10” times greater than the “actual and potential damages.” </w:t>
      </w:r>
      <w:r w:rsidRPr="00C43543">
        <w:rPr>
          <w:i/>
          <w:iCs/>
          <w:szCs w:val="28"/>
          <w14:ligatures w14:val="standardContextual"/>
        </w:rPr>
        <w:t>Gore</w:t>
      </w:r>
      <w:r w:rsidRPr="00C43543">
        <w:rPr>
          <w:szCs w:val="28"/>
          <w14:ligatures w14:val="standardContextual"/>
        </w:rPr>
        <w:t>, 517 U.S. at 58</w:t>
      </w:r>
      <w:r w:rsidR="006E2120" w:rsidRPr="00C43543">
        <w:rPr>
          <w:szCs w:val="28"/>
          <w14:ligatures w14:val="standardContextual"/>
        </w:rPr>
        <w:t>1-8</w:t>
      </w:r>
      <w:r w:rsidRPr="00C43543">
        <w:rPr>
          <w:szCs w:val="28"/>
          <w14:ligatures w14:val="standardContextual"/>
        </w:rPr>
        <w:t>2</w:t>
      </w:r>
      <w:r w:rsidR="00ED5637" w:rsidRPr="00C43543">
        <w:rPr>
          <w:szCs w:val="28"/>
          <w14:ligatures w14:val="standardContextual"/>
        </w:rPr>
        <w:fldChar w:fldCharType="begin"/>
      </w:r>
      <w:r w:rsidR="00ED5637" w:rsidRPr="00C43543">
        <w:rPr>
          <w:szCs w:val="28"/>
          <w14:ligatures w14:val="standardContextual"/>
        </w:rPr>
        <w:instrText xml:space="preserve"> TA \s "BMW v. Gore, 517 U.S. 559" </w:instrText>
      </w:r>
      <w:r w:rsidR="00ED5637" w:rsidRPr="00C43543">
        <w:rPr>
          <w:szCs w:val="28"/>
          <w14:ligatures w14:val="standardContextual"/>
        </w:rPr>
        <w:fldChar w:fldCharType="end"/>
      </w:r>
      <w:r w:rsidRPr="00C43543">
        <w:rPr>
          <w:szCs w:val="28"/>
          <w14:ligatures w14:val="standardContextual"/>
        </w:rPr>
        <w:t xml:space="preserve"> (discussing </w:t>
      </w:r>
      <w:r w:rsidRPr="00C43543">
        <w:rPr>
          <w:i/>
          <w:iCs/>
          <w:szCs w:val="28"/>
          <w14:ligatures w14:val="standardContextual"/>
        </w:rPr>
        <w:t>TXO Prod</w:t>
      </w:r>
      <w:r w:rsidR="006E2120" w:rsidRPr="00C43543">
        <w:rPr>
          <w:i/>
          <w:iCs/>
          <w:szCs w:val="28"/>
          <w14:ligatures w14:val="standardContextual"/>
        </w:rPr>
        <w:t>. Corp.</w:t>
      </w:r>
      <w:r w:rsidRPr="00C43543">
        <w:rPr>
          <w:i/>
          <w:iCs/>
          <w:szCs w:val="28"/>
          <w14:ligatures w14:val="standardContextual"/>
        </w:rPr>
        <w:t xml:space="preserve"> v. Alliance Res. Corp.</w:t>
      </w:r>
      <w:r w:rsidRPr="00C43543">
        <w:rPr>
          <w:szCs w:val="28"/>
          <w14:ligatures w14:val="standardContextual"/>
        </w:rPr>
        <w:t>, 509 U.S. 443, 460-62 (1993)</w:t>
      </w:r>
      <w:r w:rsidR="006937F0" w:rsidRPr="00C43543">
        <w:rPr>
          <w:szCs w:val="28"/>
          <w14:ligatures w14:val="standardContextual"/>
        </w:rPr>
        <w:fldChar w:fldCharType="begin"/>
      </w:r>
      <w:r w:rsidR="006937F0" w:rsidRPr="00C43543">
        <w:rPr>
          <w:szCs w:val="28"/>
          <w14:ligatures w14:val="standardContextual"/>
        </w:rPr>
        <w:instrText xml:space="preserve"> TA \l "</w:instrText>
      </w:r>
      <w:r w:rsidR="006937F0" w:rsidRPr="00C43543">
        <w:rPr>
          <w:i/>
          <w:iCs/>
          <w:szCs w:val="28"/>
          <w14:ligatures w14:val="standardContextual"/>
        </w:rPr>
        <w:instrText>TXO Production Corp. v. Alliance Resources Corp.</w:instrText>
      </w:r>
      <w:r w:rsidR="006937F0" w:rsidRPr="00C43543">
        <w:rPr>
          <w:szCs w:val="28"/>
          <w14:ligatures w14:val="standardContextual"/>
        </w:rPr>
        <w:instrText>,</w:instrText>
      </w:r>
      <w:r w:rsidR="006937F0" w:rsidRPr="00C43543">
        <w:rPr>
          <w:szCs w:val="28"/>
          <w14:ligatures w14:val="standardContextual"/>
        </w:rPr>
        <w:br/>
        <w:instrText xml:space="preserve">509 U.S. 443 (1993)" \s "TXO v. Alliance, 509 U.S. 443" \c 1 </w:instrText>
      </w:r>
      <w:r w:rsidR="006937F0" w:rsidRPr="00C43543">
        <w:rPr>
          <w:szCs w:val="28"/>
          <w14:ligatures w14:val="standardContextual"/>
        </w:rPr>
        <w:fldChar w:fldCharType="end"/>
      </w:r>
      <w:r w:rsidRPr="00C43543">
        <w:rPr>
          <w:szCs w:val="28"/>
          <w14:ligatures w14:val="standardContextual"/>
        </w:rPr>
        <w:t xml:space="preserve">, and </w:t>
      </w:r>
      <w:r w:rsidRPr="00C43543">
        <w:rPr>
          <w:i/>
          <w:iCs/>
          <w:szCs w:val="28"/>
          <w14:ligatures w14:val="standardContextual"/>
        </w:rPr>
        <w:t xml:space="preserve">Pac. Mut. Life Ins. Co. v. </w:t>
      </w:r>
      <w:proofErr w:type="spellStart"/>
      <w:r w:rsidRPr="00C43543">
        <w:rPr>
          <w:i/>
          <w:iCs/>
          <w:szCs w:val="28"/>
          <w14:ligatures w14:val="standardContextual"/>
        </w:rPr>
        <w:t>Haslip</w:t>
      </w:r>
      <w:proofErr w:type="spellEnd"/>
      <w:r w:rsidRPr="00C43543">
        <w:rPr>
          <w:szCs w:val="28"/>
          <w14:ligatures w14:val="standardContextual"/>
        </w:rPr>
        <w:t>, 499 U.S. 1, 23-24 (1991)</w:t>
      </w:r>
      <w:r w:rsidR="006937F0" w:rsidRPr="00C43543">
        <w:rPr>
          <w:szCs w:val="28"/>
          <w14:ligatures w14:val="standardContextual"/>
        </w:rPr>
        <w:fldChar w:fldCharType="begin"/>
      </w:r>
      <w:r w:rsidR="006937F0" w:rsidRPr="00C43543">
        <w:rPr>
          <w:szCs w:val="28"/>
          <w14:ligatures w14:val="standardContextual"/>
        </w:rPr>
        <w:instrText xml:space="preserve"> TA \l "</w:instrText>
      </w:r>
      <w:r w:rsidR="006937F0" w:rsidRPr="00C43543">
        <w:rPr>
          <w:i/>
          <w:iCs/>
          <w:szCs w:val="28"/>
          <w14:ligatures w14:val="standardContextual"/>
        </w:rPr>
        <w:instrText>Pacific Mutual Life Insurance Co. v. Haslip</w:instrText>
      </w:r>
      <w:r w:rsidR="006937F0" w:rsidRPr="00C43543">
        <w:rPr>
          <w:szCs w:val="28"/>
          <w14:ligatures w14:val="standardContextual"/>
        </w:rPr>
        <w:instrText>,</w:instrText>
      </w:r>
      <w:r w:rsidR="006937F0" w:rsidRPr="00C43543">
        <w:rPr>
          <w:szCs w:val="28"/>
          <w14:ligatures w14:val="standardContextual"/>
        </w:rPr>
        <w:br/>
        <w:instrText xml:space="preserve">499 U.S. 1 (1991)" \s "Haslip, 499 U.S. 1" \c 1 </w:instrText>
      </w:r>
      <w:r w:rsidR="006937F0" w:rsidRPr="00C43543">
        <w:rPr>
          <w:szCs w:val="28"/>
          <w14:ligatures w14:val="standardContextual"/>
        </w:rPr>
        <w:fldChar w:fldCharType="end"/>
      </w:r>
      <w:r w:rsidRPr="00C43543">
        <w:rPr>
          <w:szCs w:val="28"/>
          <w14:ligatures w14:val="standardContextual"/>
        </w:rPr>
        <w:t xml:space="preserve">). Awards of this size fit comfortably within a long historical tradition “dating back over 700 years and going forward to today, providing for sanctions of double, treble, or quadruple damages to deter and punish.” </w:t>
      </w:r>
      <w:r w:rsidRPr="00C43543">
        <w:rPr>
          <w:i/>
          <w:iCs/>
          <w:szCs w:val="28"/>
          <w14:ligatures w14:val="standardContextual"/>
        </w:rPr>
        <w:t>Campbell</w:t>
      </w:r>
      <w:r w:rsidRPr="00C43543">
        <w:rPr>
          <w:szCs w:val="28"/>
          <w14:ligatures w14:val="standardContextual"/>
        </w:rPr>
        <w:t>, 538 U.S. at 425</w:t>
      </w:r>
      <w:r w:rsidR="006937F0" w:rsidRPr="00C43543">
        <w:rPr>
          <w:szCs w:val="28"/>
          <w14:ligatures w14:val="standardContextual"/>
        </w:rPr>
        <w:fldChar w:fldCharType="begin"/>
      </w:r>
      <w:r w:rsidR="006937F0" w:rsidRPr="00C43543">
        <w:rPr>
          <w:szCs w:val="28"/>
          <w14:ligatures w14:val="standardContextual"/>
        </w:rPr>
        <w:instrText xml:space="preserve"> TA \s "Campbell v. ITE Imperial, 107 Wn.2d 807" </w:instrText>
      </w:r>
      <w:r w:rsidR="006937F0" w:rsidRPr="00C43543">
        <w:rPr>
          <w:szCs w:val="28"/>
          <w14:ligatures w14:val="standardContextual"/>
        </w:rPr>
        <w:fldChar w:fldCharType="end"/>
      </w:r>
      <w:r w:rsidRPr="00C43543">
        <w:rPr>
          <w:szCs w:val="28"/>
          <w14:ligatures w14:val="standardContextual"/>
        </w:rPr>
        <w:t xml:space="preserve">. </w:t>
      </w:r>
    </w:p>
    <w:p w14:paraId="0228CCB3" w14:textId="77777777" w:rsidR="00CF0162" w:rsidRPr="00C43543" w:rsidRDefault="00CF0162" w:rsidP="00CF0162">
      <w:pPr>
        <w:pStyle w:val="BodyText"/>
        <w:rPr>
          <w:szCs w:val="28"/>
          <w14:ligatures w14:val="standardContextual"/>
        </w:rPr>
      </w:pPr>
      <w:r w:rsidRPr="00C43543">
        <w:rPr>
          <w:szCs w:val="28"/>
          <w14:ligatures w14:val="standardContextual"/>
        </w:rPr>
        <w:t xml:space="preserve">Despite this precedent, Monsanto claims that the aggregate punitive-damages award here—less than three times the aggregate actual damages—is unconstitutional. Monsanto bases its claim on two main arguments, one factual and one legal. Factually, it says (at 232) that “[t]he </w:t>
      </w:r>
      <w:proofErr w:type="gramStart"/>
      <w:r w:rsidRPr="00C43543">
        <w:rPr>
          <w:szCs w:val="28"/>
          <w14:ligatures w14:val="standardContextual"/>
        </w:rPr>
        <w:t>record</w:t>
      </w:r>
      <w:proofErr w:type="gramEnd"/>
      <w:r w:rsidRPr="00C43543">
        <w:rPr>
          <w:szCs w:val="28"/>
          <w14:ligatures w14:val="standardContextual"/>
        </w:rPr>
        <w:t xml:space="preserve"> establishes a low degree of reprehensibility.” Legally, it says (at 236-40) that “a 1:1 ratio is the presumptive limit of what federal due process allows” given the “substantial” harm that Monsanto caused. The first argument was rejected by both the jury and trial court, while the second is illogical, ahistorical, contradicts </w:t>
      </w:r>
      <w:r w:rsidRPr="00C43543">
        <w:rPr>
          <w:szCs w:val="28"/>
          <w14:ligatures w14:val="standardContextual"/>
        </w:rPr>
        <w:lastRenderedPageBreak/>
        <w:t xml:space="preserve">Supreme Court precedent, and would require the invalidation of countless state and federal statutes. Under a proper analysis of the relevant guideposts, the jury’s award must be upheld. </w:t>
      </w:r>
    </w:p>
    <w:p w14:paraId="7241AA25" w14:textId="6C54DF1D" w:rsidR="00CF0162" w:rsidRPr="00C43543" w:rsidRDefault="00CF0162" w:rsidP="00CF0162">
      <w:pPr>
        <w:pStyle w:val="BodyText"/>
        <w:rPr>
          <w:szCs w:val="28"/>
          <w14:ligatures w14:val="standardContextual"/>
        </w:rPr>
      </w:pPr>
      <w:r w:rsidRPr="00C43543">
        <w:rPr>
          <w:b/>
          <w:i/>
          <w:iCs/>
          <w:szCs w:val="28"/>
          <w14:ligatures w14:val="standardContextual"/>
        </w:rPr>
        <w:t>Reprehensibility.</w:t>
      </w:r>
      <w:r w:rsidRPr="00C43543">
        <w:rPr>
          <w:szCs w:val="28"/>
          <w14:ligatures w14:val="standardContextual"/>
        </w:rPr>
        <w:t xml:space="preserve"> As Monsanto notes (at 231), reprehensibility is the “most important guidepost” in evaluating punitive damages. Monsanto claims (at 232) that this guidepost cuts in its favor because it acted with only “a low degree of reprehensibility.” But both the jury and trial court found otherwise. The jury found that Monsanto “clearly” acted with “complete indifference to or conscious disregard for the safety of others.”</w:t>
      </w:r>
      <w:r w:rsidR="00AD73BD" w:rsidRPr="00C43543">
        <w:rPr>
          <w:szCs w:val="28"/>
          <w14:ligatures w14:val="standardContextual"/>
        </w:rPr>
        <w:t xml:space="preserve"> CP 16549</w:t>
      </w:r>
      <w:r w:rsidR="00AA3125" w:rsidRPr="00C43543">
        <w:rPr>
          <w:szCs w:val="28"/>
          <w14:ligatures w14:val="standardContextual"/>
        </w:rPr>
        <w:t>-50</w:t>
      </w:r>
      <w:r w:rsidRPr="00C43543">
        <w:rPr>
          <w:szCs w:val="28"/>
          <w14:ligatures w14:val="standardContextual"/>
        </w:rPr>
        <w:t>. It also found that the awards were necessary “to punish [Monsanto] and to deter [it] and others from like conduct.”</w:t>
      </w:r>
      <w:r w:rsidR="00AD73BD" w:rsidRPr="00C43543">
        <w:rPr>
          <w:szCs w:val="28"/>
          <w14:ligatures w14:val="standardContextual"/>
        </w:rPr>
        <w:t xml:space="preserve"> </w:t>
      </w:r>
      <w:r w:rsidR="00FC31BF" w:rsidRPr="00C43543">
        <w:rPr>
          <w:szCs w:val="28"/>
          <w14:ligatures w14:val="standardContextual"/>
        </w:rPr>
        <w:t>CP 16549-50.</w:t>
      </w:r>
    </w:p>
    <w:p w14:paraId="5C293358" w14:textId="45A9F0CF" w:rsidR="00CF0162" w:rsidRPr="00C43543" w:rsidRDefault="00CF0162" w:rsidP="00CF0162">
      <w:pPr>
        <w:pStyle w:val="BodyText"/>
        <w:rPr>
          <w:szCs w:val="28"/>
          <w14:ligatures w14:val="standardContextual"/>
        </w:rPr>
      </w:pPr>
      <w:r w:rsidRPr="00C43543">
        <w:rPr>
          <w:szCs w:val="28"/>
          <w14:ligatures w14:val="standardContextual"/>
        </w:rPr>
        <w:t xml:space="preserve">The trial court found the same. It reviewed the evidence and concluded that Monsanto acted with “significant reprehensibility.” </w:t>
      </w:r>
      <w:r w:rsidR="00FC31BF" w:rsidRPr="00C43543">
        <w:rPr>
          <w:szCs w:val="28"/>
          <w14:ligatures w14:val="standardContextual"/>
        </w:rPr>
        <w:t xml:space="preserve">CP 16807. </w:t>
      </w:r>
      <w:r w:rsidRPr="00C43543">
        <w:rPr>
          <w:szCs w:val="28"/>
          <w14:ligatures w14:val="standardContextual"/>
        </w:rPr>
        <w:t xml:space="preserve">It found that each plaintiff “suffered physical pain and neurological injury,” “has substantially reduced enjoyment of life,” and “faces an increased risk of cancer and dementia.” </w:t>
      </w:r>
      <w:r w:rsidR="00FC31BF" w:rsidRPr="00C43543">
        <w:rPr>
          <w:szCs w:val="28"/>
          <w14:ligatures w14:val="standardContextual"/>
        </w:rPr>
        <w:t xml:space="preserve">CP 16807. </w:t>
      </w:r>
      <w:r w:rsidRPr="00C43543">
        <w:rPr>
          <w:szCs w:val="28"/>
          <w14:ligatures w14:val="standardContextual"/>
        </w:rPr>
        <w:t xml:space="preserve">It found that Monsanto’s “conduct evinced a ‘complete indifference to or conscious disregard for the safety of others.’” </w:t>
      </w:r>
      <w:r w:rsidR="00FC31BF" w:rsidRPr="00C43543">
        <w:rPr>
          <w:szCs w:val="28"/>
          <w14:ligatures w14:val="standardContextual"/>
        </w:rPr>
        <w:t xml:space="preserve">CP 16807. </w:t>
      </w:r>
      <w:r w:rsidRPr="00C43543">
        <w:rPr>
          <w:szCs w:val="28"/>
          <w14:ligatures w14:val="standardContextual"/>
        </w:rPr>
        <w:t xml:space="preserve">It also found that this “wrongful conduct occurred over many years and </w:t>
      </w:r>
      <w:r w:rsidRPr="00C43543">
        <w:rPr>
          <w:szCs w:val="28"/>
          <w14:ligatures w14:val="standardContextual"/>
        </w:rPr>
        <w:lastRenderedPageBreak/>
        <w:t xml:space="preserve">involved continuous commitment to its harmful course of conduct.” </w:t>
      </w:r>
      <w:r w:rsidR="00FC31BF" w:rsidRPr="00C43543">
        <w:rPr>
          <w:szCs w:val="28"/>
          <w14:ligatures w14:val="standardContextual"/>
        </w:rPr>
        <w:t xml:space="preserve">CP 16807. </w:t>
      </w:r>
      <w:r w:rsidRPr="00C43543">
        <w:rPr>
          <w:szCs w:val="28"/>
          <w14:ligatures w14:val="standardContextual"/>
        </w:rPr>
        <w:t xml:space="preserve">In particular, the court found that Monsanto: “knew that PCBs caused systemic toxicity as early as the 1930s,” and yet “refused to conduct appropriate testing or warn others”; “knew what that testing would likely show and decided not to make a record of PCBs’ dangers”; and “then pushed PCBs for use in goods that would reach ordinary consumers, without warning its customers or the ultimate users of the dangers”—an “approach that continued for decades.” </w:t>
      </w:r>
      <w:r w:rsidR="00FC31BF" w:rsidRPr="00C43543">
        <w:rPr>
          <w:szCs w:val="28"/>
          <w14:ligatures w14:val="standardContextual"/>
        </w:rPr>
        <w:t>CP 16807.</w:t>
      </w:r>
    </w:p>
    <w:p w14:paraId="33A3A916" w14:textId="74C16D7D" w:rsidR="00CF0162" w:rsidRPr="00C43543" w:rsidRDefault="00CF0162" w:rsidP="00CF0162">
      <w:pPr>
        <w:pStyle w:val="BodyText"/>
        <w:rPr>
          <w:szCs w:val="28"/>
          <w14:ligatures w14:val="standardContextual"/>
        </w:rPr>
      </w:pPr>
      <w:r w:rsidRPr="00C43543">
        <w:rPr>
          <w:szCs w:val="28"/>
          <w14:ligatures w14:val="standardContextual"/>
        </w:rPr>
        <w:t xml:space="preserve">The court further found that, “after the harmful effects of PCBs became more widely known and PCBs were banned across the world, [Monsanto] enacted a plan over many decades to minimize the perception of the potential harm from PCBs and prevent any mandatory recall or clean up.” </w:t>
      </w:r>
      <w:r w:rsidR="00D14F95" w:rsidRPr="00C43543">
        <w:rPr>
          <w:szCs w:val="28"/>
          <w14:ligatures w14:val="standardContextual"/>
        </w:rPr>
        <w:t>CP 16807</w:t>
      </w:r>
      <w:r w:rsidRPr="00C43543">
        <w:rPr>
          <w:i/>
          <w:iCs/>
          <w:szCs w:val="28"/>
          <w14:ligatures w14:val="standardContextual"/>
        </w:rPr>
        <w:t>.</w:t>
      </w:r>
      <w:r w:rsidRPr="00C43543">
        <w:rPr>
          <w:szCs w:val="28"/>
          <w14:ligatures w14:val="standardContextual"/>
        </w:rPr>
        <w:t xml:space="preserve"> And it found, finally, that “there was substantial evidence that the harm to the Plaintiffs was a direct result of [Monsanto’s] efforts to deceive regulators and the public regarding the health effects of PCBs. If [Monsanto] had come clean and participated in efforts to clean up PCBs, especially in schools, rather than interfere with these efforts, </w:t>
      </w:r>
      <w:r w:rsidRPr="00C43543">
        <w:rPr>
          <w:szCs w:val="28"/>
          <w14:ligatures w14:val="standardContextual"/>
        </w:rPr>
        <w:lastRenderedPageBreak/>
        <w:t xml:space="preserve">the Plaintiffs likely would not have been exposed to PCBs.” </w:t>
      </w:r>
      <w:r w:rsidR="00D14F95" w:rsidRPr="00C43543">
        <w:rPr>
          <w:szCs w:val="28"/>
          <w14:ligatures w14:val="standardContextual"/>
        </w:rPr>
        <w:t>CP 16807.</w:t>
      </w:r>
    </w:p>
    <w:p w14:paraId="289A7CF9" w14:textId="48F94BDD" w:rsidR="00CF0162" w:rsidRPr="00C43543" w:rsidRDefault="00CF0162" w:rsidP="00CF0162">
      <w:pPr>
        <w:pStyle w:val="BodyText"/>
        <w:rPr>
          <w:szCs w:val="28"/>
          <w14:ligatures w14:val="standardContextual"/>
        </w:rPr>
      </w:pPr>
      <w:r w:rsidRPr="00C43543">
        <w:rPr>
          <w:szCs w:val="28"/>
          <w14:ligatures w14:val="standardContextual"/>
        </w:rPr>
        <w:t xml:space="preserve">This Court is required to “defer to the [trial court’s] findings of fact unless they are clearly erroneous”—a standard Monsanto doesn’t even try to meet. </w:t>
      </w:r>
      <w:r w:rsidRPr="00C43543">
        <w:rPr>
          <w:i/>
          <w:iCs/>
          <w:szCs w:val="28"/>
          <w14:ligatures w14:val="standardContextual"/>
        </w:rPr>
        <w:t>Cooper Indus., Inc. v. Leatherman Tool Grp., Inc.</w:t>
      </w:r>
      <w:r w:rsidRPr="00C43543">
        <w:rPr>
          <w:szCs w:val="28"/>
          <w14:ligatures w14:val="standardContextual"/>
        </w:rPr>
        <w:t>, 532 U.S. 424, 440 n.14 (2001)</w:t>
      </w:r>
      <w:r w:rsidR="006937F0" w:rsidRPr="00C43543">
        <w:rPr>
          <w:szCs w:val="28"/>
          <w14:ligatures w14:val="standardContextual"/>
        </w:rPr>
        <w:fldChar w:fldCharType="begin"/>
      </w:r>
      <w:r w:rsidR="006937F0" w:rsidRPr="00C43543">
        <w:rPr>
          <w:szCs w:val="28"/>
          <w14:ligatures w14:val="standardContextual"/>
        </w:rPr>
        <w:instrText xml:space="preserve"> TA \l "</w:instrText>
      </w:r>
      <w:r w:rsidR="006937F0" w:rsidRPr="00C43543">
        <w:rPr>
          <w:i/>
          <w:iCs/>
          <w:szCs w:val="28"/>
          <w14:ligatures w14:val="standardContextual"/>
        </w:rPr>
        <w:instrText>Cooper Industries, Inc. v. Leatherman Tool Group, Inc.</w:instrText>
      </w:r>
      <w:r w:rsidR="006937F0" w:rsidRPr="00C43543">
        <w:rPr>
          <w:szCs w:val="28"/>
          <w14:ligatures w14:val="standardContextual"/>
        </w:rPr>
        <w:instrText>,</w:instrText>
      </w:r>
      <w:r w:rsidR="006937F0" w:rsidRPr="00C43543">
        <w:rPr>
          <w:szCs w:val="28"/>
          <w14:ligatures w14:val="standardContextual"/>
        </w:rPr>
        <w:br/>
        <w:instrText xml:space="preserve">532 U.S. 424 (2001)" \s "Cooper v. Leatherman, 532 U.S. 424" \c 1 </w:instrText>
      </w:r>
      <w:r w:rsidR="006937F0" w:rsidRPr="00C43543">
        <w:rPr>
          <w:szCs w:val="28"/>
          <w14:ligatures w14:val="standardContextual"/>
        </w:rPr>
        <w:fldChar w:fldCharType="end"/>
      </w:r>
      <w:r w:rsidRPr="00C43543">
        <w:rPr>
          <w:szCs w:val="28"/>
          <w14:ligatures w14:val="standardContextual"/>
        </w:rPr>
        <w:t xml:space="preserve">. Nor may this Court “disregard [the] jury[’s] findings.” </w:t>
      </w:r>
      <w:r w:rsidRPr="00C43543">
        <w:rPr>
          <w:i/>
          <w:iCs/>
          <w:szCs w:val="28"/>
          <w14:ligatures w14:val="standardContextual"/>
        </w:rPr>
        <w:t>Id.</w:t>
      </w:r>
      <w:r w:rsidRPr="00C43543">
        <w:rPr>
          <w:szCs w:val="28"/>
          <w14:ligatures w14:val="standardContextual"/>
        </w:rPr>
        <w:t xml:space="preserve"> at 439 n.12</w:t>
      </w:r>
      <w:r w:rsidR="006937F0" w:rsidRPr="00C43543">
        <w:rPr>
          <w:szCs w:val="28"/>
          <w14:ligatures w14:val="standardContextual"/>
        </w:rPr>
        <w:fldChar w:fldCharType="begin"/>
      </w:r>
      <w:r w:rsidR="006937F0" w:rsidRPr="00C43543">
        <w:rPr>
          <w:szCs w:val="28"/>
          <w14:ligatures w14:val="standardContextual"/>
        </w:rPr>
        <w:instrText xml:space="preserve"> TA \s "Cooper v. Leatherman, 532 U.S. 424" </w:instrText>
      </w:r>
      <w:r w:rsidR="006937F0" w:rsidRPr="00C43543">
        <w:rPr>
          <w:szCs w:val="28"/>
          <w14:ligatures w14:val="standardContextual"/>
        </w:rPr>
        <w:fldChar w:fldCharType="end"/>
      </w:r>
      <w:r w:rsidRPr="00C43543">
        <w:rPr>
          <w:szCs w:val="28"/>
          <w14:ligatures w14:val="standardContextual"/>
        </w:rPr>
        <w:t xml:space="preserve">. </w:t>
      </w:r>
      <w:proofErr w:type="gramStart"/>
      <w:r w:rsidRPr="00C43543">
        <w:rPr>
          <w:szCs w:val="28"/>
          <w14:ligatures w14:val="standardContextual"/>
        </w:rPr>
        <w:t>So</w:t>
      </w:r>
      <w:proofErr w:type="gramEnd"/>
      <w:r w:rsidRPr="00C43543">
        <w:rPr>
          <w:szCs w:val="28"/>
          <w14:ligatures w14:val="standardContextual"/>
        </w:rPr>
        <w:t xml:space="preserve"> while “determining the ‘degree of reprehensibility’ ultimately involves a legal conclusion, [this Court] must accept the underlying facts as found by the jury and [trial] court.”</w:t>
      </w:r>
      <w:r w:rsidRPr="00C43543">
        <w:rPr>
          <w:i/>
          <w:iCs/>
          <w:szCs w:val="28"/>
          <w14:ligatures w14:val="standardContextual"/>
        </w:rPr>
        <w:t xml:space="preserve"> Leatherman Tool Grp., Inc. v. Cooper Indus., Inc.</w:t>
      </w:r>
      <w:r w:rsidRPr="00C43543">
        <w:rPr>
          <w:szCs w:val="28"/>
          <w14:ligatures w14:val="standardContextual"/>
        </w:rPr>
        <w:t>, 285 F.3d 1146, 1150 (9th Cir. 2002)</w:t>
      </w:r>
      <w:r w:rsidR="006937F0" w:rsidRPr="00C43543">
        <w:rPr>
          <w:szCs w:val="28"/>
          <w14:ligatures w14:val="standardContextual"/>
        </w:rPr>
        <w:fldChar w:fldCharType="begin"/>
      </w:r>
      <w:r w:rsidR="006937F0" w:rsidRPr="00C43543">
        <w:rPr>
          <w:szCs w:val="28"/>
          <w14:ligatures w14:val="standardContextual"/>
        </w:rPr>
        <w:instrText xml:space="preserve"> TA \l "</w:instrText>
      </w:r>
      <w:r w:rsidR="006937F0" w:rsidRPr="00C43543">
        <w:rPr>
          <w:i/>
          <w:iCs/>
          <w:szCs w:val="28"/>
          <w14:ligatures w14:val="standardContextual"/>
        </w:rPr>
        <w:instrText>Leatherman Tool Group, Inc. v. Cooper Industries, Inc.</w:instrText>
      </w:r>
      <w:r w:rsidR="006937F0" w:rsidRPr="00C43543">
        <w:rPr>
          <w:szCs w:val="28"/>
          <w14:ligatures w14:val="standardContextual"/>
        </w:rPr>
        <w:instrText>,</w:instrText>
      </w:r>
      <w:r w:rsidR="006937F0" w:rsidRPr="00C43543">
        <w:rPr>
          <w:szCs w:val="28"/>
          <w14:ligatures w14:val="standardContextual"/>
        </w:rPr>
        <w:br/>
        <w:instrText xml:space="preserve">285 F.3d 1146 (9th Cir. 2002)" \s "Leatherman v. Cooper, 285 F.3d 1146" \c 1 </w:instrText>
      </w:r>
      <w:r w:rsidR="006937F0" w:rsidRPr="00C43543">
        <w:rPr>
          <w:szCs w:val="28"/>
          <w14:ligatures w14:val="standardContextual"/>
        </w:rPr>
        <w:fldChar w:fldCharType="end"/>
      </w:r>
      <w:r w:rsidRPr="00C43543">
        <w:rPr>
          <w:szCs w:val="28"/>
          <w14:ligatures w14:val="standardContextual"/>
        </w:rPr>
        <w:t xml:space="preserve">. </w:t>
      </w:r>
    </w:p>
    <w:p w14:paraId="49B916FA" w14:textId="726DADAF" w:rsidR="00CF0162" w:rsidRPr="00C43543" w:rsidRDefault="00CF0162" w:rsidP="00CF0162">
      <w:pPr>
        <w:pStyle w:val="BodyText"/>
        <w:rPr>
          <w:szCs w:val="28"/>
          <w14:ligatures w14:val="standardContextual"/>
        </w:rPr>
      </w:pPr>
      <w:r w:rsidRPr="00C43543">
        <w:rPr>
          <w:szCs w:val="28"/>
          <w14:ligatures w14:val="standardContextual"/>
        </w:rPr>
        <w:t xml:space="preserve">Accepting the facts as found, every relevant factor supports the conclusion that Monsanto acted reprehensibly. The “harm [it] caused was physical as opposed to economic.” </w:t>
      </w:r>
      <w:r w:rsidRPr="00C43543">
        <w:rPr>
          <w:i/>
          <w:iCs/>
          <w:szCs w:val="28"/>
          <w14:ligatures w14:val="standardContextual"/>
        </w:rPr>
        <w:t>Campbell</w:t>
      </w:r>
      <w:r w:rsidRPr="00C43543">
        <w:rPr>
          <w:szCs w:val="28"/>
          <w14:ligatures w14:val="standardContextual"/>
        </w:rPr>
        <w:t>, 538 U.S. at 419.</w:t>
      </w:r>
      <w:r w:rsidR="003E771C" w:rsidRPr="00C43543">
        <w:rPr>
          <w:szCs w:val="28"/>
          <w14:ligatures w14:val="standardContextual"/>
        </w:rPr>
        <w:fldChar w:fldCharType="begin"/>
      </w:r>
      <w:r w:rsidR="003E771C" w:rsidRPr="00C43543">
        <w:rPr>
          <w:szCs w:val="28"/>
          <w14:ligatures w14:val="standardContextual"/>
        </w:rPr>
        <w:instrText xml:space="preserve"> TA \s "Campbell v. ITE Imperial, 107 Wn.2d 807" </w:instrText>
      </w:r>
      <w:r w:rsidR="003E771C" w:rsidRPr="00C43543">
        <w:rPr>
          <w:szCs w:val="28"/>
          <w14:ligatures w14:val="standardContextual"/>
        </w:rPr>
        <w:fldChar w:fldCharType="end"/>
      </w:r>
      <w:r w:rsidRPr="00C43543">
        <w:rPr>
          <w:szCs w:val="28"/>
          <w14:ligatures w14:val="standardContextual"/>
        </w:rPr>
        <w:t xml:space="preserve"> It “was the result of intentional malice, trickery, or deceit,” not “mere accident.” </w:t>
      </w:r>
      <w:r w:rsidRPr="00C43543">
        <w:rPr>
          <w:i/>
          <w:iCs/>
          <w:szCs w:val="28"/>
          <w14:ligatures w14:val="standardContextual"/>
        </w:rPr>
        <w:t>Id.</w:t>
      </w:r>
      <w:r w:rsidRPr="00C43543">
        <w:rPr>
          <w:szCs w:val="28"/>
          <w14:ligatures w14:val="standardContextual"/>
        </w:rPr>
        <w:t>;</w:t>
      </w:r>
      <w:r w:rsidR="003E771C" w:rsidRPr="00C43543">
        <w:rPr>
          <w:szCs w:val="28"/>
          <w14:ligatures w14:val="standardContextual"/>
        </w:rPr>
        <w:fldChar w:fldCharType="begin"/>
      </w:r>
      <w:r w:rsidR="003E771C" w:rsidRPr="00C43543">
        <w:rPr>
          <w:szCs w:val="28"/>
          <w14:ligatures w14:val="standardContextual"/>
        </w:rPr>
        <w:instrText xml:space="preserve"> TA \s "Campbell v. ITE Imperial, 107 Wn.2d 807" </w:instrText>
      </w:r>
      <w:r w:rsidR="003E771C"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see Gore</w:t>
      </w:r>
      <w:r w:rsidRPr="00C43543">
        <w:rPr>
          <w:szCs w:val="28"/>
          <w14:ligatures w14:val="standardContextual"/>
        </w:rPr>
        <w:t>, 517 U.S. at 560</w:t>
      </w:r>
      <w:r w:rsidR="003E771C" w:rsidRPr="00C43543">
        <w:rPr>
          <w:szCs w:val="28"/>
          <w14:ligatures w14:val="standardContextual"/>
        </w:rPr>
        <w:fldChar w:fldCharType="begin"/>
      </w:r>
      <w:r w:rsidR="003E771C" w:rsidRPr="00C43543">
        <w:rPr>
          <w:szCs w:val="28"/>
          <w14:ligatures w14:val="standardContextual"/>
        </w:rPr>
        <w:instrText xml:space="preserve"> TA \s "BMW v. Gore, 517 U.S. 559" </w:instrText>
      </w:r>
      <w:r w:rsidR="003E771C" w:rsidRPr="00C43543">
        <w:rPr>
          <w:szCs w:val="28"/>
          <w14:ligatures w14:val="standardContextual"/>
        </w:rPr>
        <w:fldChar w:fldCharType="end"/>
      </w:r>
      <w:r w:rsidRPr="00C43543">
        <w:rPr>
          <w:szCs w:val="28"/>
          <w14:ligatures w14:val="standardContextual"/>
        </w:rPr>
        <w:t xml:space="preserve"> (“deliberate false statements” or “acts of affirmative misconduct” are reprehensible). The “conduct evinced an indifference to or a reckless disregard of the health or safety of others</w:t>
      </w:r>
      <w:r w:rsidR="00EC39F7" w:rsidRPr="00C43543">
        <w:rPr>
          <w:szCs w:val="28"/>
          <w14:ligatures w14:val="standardContextual"/>
        </w:rPr>
        <w:t>.</w:t>
      </w:r>
      <w:r w:rsidRPr="00C43543">
        <w:rPr>
          <w:szCs w:val="28"/>
          <w14:ligatures w14:val="standardContextual"/>
        </w:rPr>
        <w:t xml:space="preserve">” </w:t>
      </w:r>
      <w:r w:rsidRPr="00C43543">
        <w:rPr>
          <w:i/>
          <w:iCs/>
          <w:szCs w:val="28"/>
          <w14:ligatures w14:val="standardContextual"/>
        </w:rPr>
        <w:t>Campbell</w:t>
      </w:r>
      <w:r w:rsidRPr="00C43543">
        <w:rPr>
          <w:szCs w:val="28"/>
          <w14:ligatures w14:val="standardContextual"/>
        </w:rPr>
        <w:t>, 538 U.S. at 419</w:t>
      </w:r>
      <w:r w:rsidR="003E771C" w:rsidRPr="00C43543">
        <w:rPr>
          <w:szCs w:val="28"/>
          <w14:ligatures w14:val="standardContextual"/>
        </w:rPr>
        <w:fldChar w:fldCharType="begin"/>
      </w:r>
      <w:r w:rsidR="003E771C" w:rsidRPr="00C43543">
        <w:rPr>
          <w:szCs w:val="28"/>
          <w14:ligatures w14:val="standardContextual"/>
        </w:rPr>
        <w:instrText xml:space="preserve"> TA \s "Campbell v. ITE Imperial, 107 Wn.2d 807" </w:instrText>
      </w:r>
      <w:r w:rsidR="003E771C" w:rsidRPr="00C43543">
        <w:rPr>
          <w:szCs w:val="28"/>
          <w14:ligatures w14:val="standardContextual"/>
        </w:rPr>
        <w:fldChar w:fldCharType="end"/>
      </w:r>
      <w:r w:rsidRPr="00C43543">
        <w:rPr>
          <w:szCs w:val="28"/>
          <w14:ligatures w14:val="standardContextual"/>
        </w:rPr>
        <w:t xml:space="preserve">. It “posed a substantial risk of harm” not only to the plaintiffs but </w:t>
      </w:r>
      <w:r w:rsidR="00D14F95" w:rsidRPr="00C43543">
        <w:rPr>
          <w:szCs w:val="28"/>
          <w14:ligatures w14:val="standardContextual"/>
        </w:rPr>
        <w:t>also</w:t>
      </w:r>
      <w:r w:rsidRPr="00C43543">
        <w:rPr>
          <w:szCs w:val="28"/>
          <w14:ligatures w14:val="standardContextual"/>
        </w:rPr>
        <w:t xml:space="preserve"> children </w:t>
      </w:r>
      <w:r w:rsidRPr="00C43543">
        <w:rPr>
          <w:szCs w:val="28"/>
          <w14:ligatures w14:val="standardContextual"/>
        </w:rPr>
        <w:lastRenderedPageBreak/>
        <w:t xml:space="preserve">and “the general public, so it was particularly reprehensible.” </w:t>
      </w:r>
      <w:r w:rsidRPr="00C43543">
        <w:rPr>
          <w:i/>
          <w:iCs/>
          <w:szCs w:val="28"/>
          <w14:ligatures w14:val="standardContextual"/>
        </w:rPr>
        <w:t>Philip Morris USA v. Williams</w:t>
      </w:r>
      <w:r w:rsidRPr="00C43543">
        <w:rPr>
          <w:szCs w:val="28"/>
          <w14:ligatures w14:val="standardContextual"/>
        </w:rPr>
        <w:t>, 549 U.S. 346, 355 (2007)</w:t>
      </w:r>
      <w:r w:rsidR="003E771C" w:rsidRPr="00C43543">
        <w:rPr>
          <w:szCs w:val="28"/>
          <w14:ligatures w14:val="standardContextual"/>
        </w:rPr>
        <w:fldChar w:fldCharType="begin"/>
      </w:r>
      <w:r w:rsidR="003E771C" w:rsidRPr="00C43543">
        <w:rPr>
          <w:szCs w:val="28"/>
          <w14:ligatures w14:val="standardContextual"/>
        </w:rPr>
        <w:instrText xml:space="preserve"> TA \l "</w:instrText>
      </w:r>
      <w:r w:rsidR="003E771C" w:rsidRPr="00C43543">
        <w:rPr>
          <w:i/>
          <w:iCs/>
          <w:szCs w:val="28"/>
          <w14:ligatures w14:val="standardContextual"/>
        </w:rPr>
        <w:instrText>Philip Morris USA v. Williams</w:instrText>
      </w:r>
      <w:r w:rsidR="003E771C" w:rsidRPr="00C43543">
        <w:rPr>
          <w:szCs w:val="28"/>
          <w14:ligatures w14:val="standardContextual"/>
        </w:rPr>
        <w:instrText>,</w:instrText>
      </w:r>
      <w:r w:rsidR="003E771C" w:rsidRPr="00C43543">
        <w:rPr>
          <w:szCs w:val="28"/>
          <w14:ligatures w14:val="standardContextual"/>
        </w:rPr>
        <w:br/>
        <w:instrText xml:space="preserve">549 U.S. 346 (2007)" \s "Philip Morris v. Williams, 549 U.S. 346" \c 1 </w:instrText>
      </w:r>
      <w:r w:rsidR="003E771C" w:rsidRPr="00C43543">
        <w:rPr>
          <w:szCs w:val="28"/>
          <w14:ligatures w14:val="standardContextual"/>
        </w:rPr>
        <w:fldChar w:fldCharType="end"/>
      </w:r>
      <w:r w:rsidRPr="00C43543">
        <w:rPr>
          <w:szCs w:val="28"/>
          <w14:ligatures w14:val="standardContextual"/>
        </w:rPr>
        <w:t xml:space="preserve">. The “conduct involved repeated actions” and was not “an isolated incident.” </w:t>
      </w:r>
      <w:r w:rsidR="00061585" w:rsidRPr="00C43543">
        <w:rPr>
          <w:i/>
          <w:iCs/>
          <w:szCs w:val="28"/>
          <w14:ligatures w14:val="standardContextual"/>
        </w:rPr>
        <w:t>Campbell</w:t>
      </w:r>
      <w:r w:rsidR="00061585" w:rsidRPr="00C43543">
        <w:rPr>
          <w:szCs w:val="28"/>
          <w14:ligatures w14:val="standardContextual"/>
        </w:rPr>
        <w:t>, 538 U.S. at 4</w:t>
      </w:r>
      <w:r w:rsidR="00DF59B2">
        <w:rPr>
          <w:szCs w:val="28"/>
          <w14:ligatures w14:val="standardContextual"/>
        </w:rPr>
        <w:t>1</w:t>
      </w:r>
      <w:r w:rsidR="00061585" w:rsidRPr="00C43543">
        <w:rPr>
          <w:szCs w:val="28"/>
          <w14:ligatures w14:val="standardContextual"/>
        </w:rPr>
        <w:t>9</w:t>
      </w:r>
      <w:r w:rsidR="003E771C" w:rsidRPr="00C43543">
        <w:rPr>
          <w:szCs w:val="28"/>
          <w14:ligatures w14:val="standardContextual"/>
        </w:rPr>
        <w:fldChar w:fldCharType="begin"/>
      </w:r>
      <w:r w:rsidR="003E771C" w:rsidRPr="00C43543">
        <w:rPr>
          <w:szCs w:val="28"/>
          <w14:ligatures w14:val="standardContextual"/>
        </w:rPr>
        <w:instrText xml:space="preserve"> TA \s "Campbell v. ITE Imperial, 107 Wn.2d 807" </w:instrText>
      </w:r>
      <w:r w:rsidR="003E771C" w:rsidRPr="00C43543">
        <w:rPr>
          <w:szCs w:val="28"/>
          <w14:ligatures w14:val="standardContextual"/>
        </w:rPr>
        <w:fldChar w:fldCharType="end"/>
      </w:r>
      <w:r w:rsidR="00061585" w:rsidRPr="00C43543">
        <w:rPr>
          <w:szCs w:val="28"/>
          <w14:ligatures w14:val="standardContextual"/>
        </w:rPr>
        <w:t xml:space="preserve">. </w:t>
      </w:r>
      <w:r w:rsidRPr="00C43543">
        <w:rPr>
          <w:szCs w:val="28"/>
          <w14:ligatures w14:val="standardContextual"/>
        </w:rPr>
        <w:t xml:space="preserve">And the actions were “taken or omitted in order to augment profit,” which “represents an enhanced degree of punishable culpability.” </w:t>
      </w:r>
      <w:r w:rsidRPr="00C43543">
        <w:rPr>
          <w:i/>
          <w:iCs/>
          <w:szCs w:val="28"/>
          <w14:ligatures w14:val="standardContextual"/>
        </w:rPr>
        <w:t>Exxon Shipping Co. v. Baker</w:t>
      </w:r>
      <w:r w:rsidRPr="00C43543">
        <w:rPr>
          <w:szCs w:val="28"/>
          <w14:ligatures w14:val="standardContextual"/>
        </w:rPr>
        <w:t>, 554 U.S. 471, 494 (2008)</w:t>
      </w:r>
      <w:r w:rsidR="003E771C" w:rsidRPr="00C43543">
        <w:rPr>
          <w:szCs w:val="28"/>
          <w14:ligatures w14:val="standardContextual"/>
        </w:rPr>
        <w:fldChar w:fldCharType="begin"/>
      </w:r>
      <w:r w:rsidR="003E771C" w:rsidRPr="00C43543">
        <w:rPr>
          <w:szCs w:val="28"/>
          <w14:ligatures w14:val="standardContextual"/>
        </w:rPr>
        <w:instrText xml:space="preserve"> TA \l "</w:instrText>
      </w:r>
      <w:r w:rsidR="003E771C" w:rsidRPr="00C43543">
        <w:rPr>
          <w:i/>
          <w:iCs/>
          <w:szCs w:val="28"/>
          <w14:ligatures w14:val="standardContextual"/>
        </w:rPr>
        <w:instrText>Exxon Shipping Co. v. Baker</w:instrText>
      </w:r>
      <w:r w:rsidR="003E771C" w:rsidRPr="00C43543">
        <w:rPr>
          <w:szCs w:val="28"/>
          <w14:ligatures w14:val="standardContextual"/>
        </w:rPr>
        <w:instrText>,</w:instrText>
      </w:r>
      <w:r w:rsidR="003E771C" w:rsidRPr="00C43543">
        <w:rPr>
          <w:szCs w:val="28"/>
          <w14:ligatures w14:val="standardContextual"/>
        </w:rPr>
        <w:br/>
        <w:instrText xml:space="preserve">554 U.S. 471 (2008)" \s "Exxon v. Baker, 554 U.S. 471" \c 1 </w:instrText>
      </w:r>
      <w:r w:rsidR="003E771C" w:rsidRPr="00C43543">
        <w:rPr>
          <w:szCs w:val="28"/>
          <w14:ligatures w14:val="standardContextual"/>
        </w:rPr>
        <w:fldChar w:fldCharType="end"/>
      </w:r>
      <w:r w:rsidRPr="00C43543">
        <w:rPr>
          <w:szCs w:val="28"/>
          <w14:ligatures w14:val="standardContextual"/>
        </w:rPr>
        <w:t>.</w:t>
      </w:r>
      <w:r w:rsidRPr="00C43543">
        <w:rPr>
          <w:rStyle w:val="FootnoteReference"/>
          <w:bCs/>
          <w:szCs w:val="28"/>
          <w14:ligatures w14:val="standardContextual"/>
        </w:rPr>
        <w:footnoteReference w:id="33"/>
      </w:r>
    </w:p>
    <w:p w14:paraId="5CB34957" w14:textId="6E02B2B6" w:rsidR="00CF0162" w:rsidRPr="00C43543" w:rsidRDefault="00CF0162" w:rsidP="00CF0162">
      <w:pPr>
        <w:pStyle w:val="BodyText"/>
        <w:rPr>
          <w:i/>
          <w:iCs/>
          <w:szCs w:val="28"/>
          <w14:ligatures w14:val="standardContextual"/>
        </w:rPr>
      </w:pPr>
      <w:r w:rsidRPr="00C43543">
        <w:rPr>
          <w:b/>
          <w:i/>
          <w:iCs/>
          <w:szCs w:val="28"/>
          <w14:ligatures w14:val="standardContextual"/>
        </w:rPr>
        <w:t>Ratio.</w:t>
      </w:r>
      <w:r w:rsidRPr="00C43543">
        <w:rPr>
          <w:szCs w:val="28"/>
          <w14:ligatures w14:val="standardContextual"/>
        </w:rPr>
        <w:t xml:space="preserve"> The next guidepost evaluates “the ratio between harm, or potential harm, to the plaintiff and the punitive damages award,” keeping in mind the 700-year history “providing for sanctions of double, treble, or quadruple damages to deter and punish.” </w:t>
      </w:r>
      <w:r w:rsidRPr="00C43543">
        <w:rPr>
          <w:i/>
          <w:iCs/>
          <w:szCs w:val="28"/>
          <w14:ligatures w14:val="standardContextual"/>
        </w:rPr>
        <w:t>Campbell</w:t>
      </w:r>
      <w:r w:rsidRPr="00C43543">
        <w:rPr>
          <w:szCs w:val="28"/>
          <w14:ligatures w14:val="standardContextual"/>
        </w:rPr>
        <w:t>, 538 U.S. at 425</w:t>
      </w:r>
      <w:r w:rsidR="00140E2B" w:rsidRPr="00C43543">
        <w:rPr>
          <w:szCs w:val="28"/>
          <w14:ligatures w14:val="standardContextual"/>
        </w:rPr>
        <w:fldChar w:fldCharType="begin"/>
      </w:r>
      <w:r w:rsidR="00140E2B" w:rsidRPr="00C43543">
        <w:rPr>
          <w:szCs w:val="28"/>
          <w14:ligatures w14:val="standardContextual"/>
        </w:rPr>
        <w:instrText xml:space="preserve"> TA \s "Campbell v. ITE Imperial, 107 Wn.2d 807" </w:instrText>
      </w:r>
      <w:r w:rsidR="00140E2B" w:rsidRPr="00C43543">
        <w:rPr>
          <w:szCs w:val="28"/>
          <w14:ligatures w14:val="standardContextual"/>
        </w:rPr>
        <w:fldChar w:fldCharType="end"/>
      </w:r>
      <w:r w:rsidRPr="00C43543">
        <w:rPr>
          <w:szCs w:val="28"/>
          <w14:ligatures w14:val="standardContextual"/>
        </w:rPr>
        <w:t>;</w:t>
      </w:r>
      <w:r w:rsidRPr="00C43543">
        <w:rPr>
          <w:i/>
          <w:iCs/>
          <w:szCs w:val="28"/>
          <w14:ligatures w14:val="standardContextual"/>
        </w:rPr>
        <w:t xml:space="preserve"> see</w:t>
      </w:r>
      <w:r w:rsidRPr="00C43543">
        <w:rPr>
          <w:szCs w:val="28"/>
          <w14:ligatures w14:val="standardContextual"/>
        </w:rPr>
        <w:t xml:space="preserve"> </w:t>
      </w:r>
      <w:r w:rsidRPr="00C43543">
        <w:rPr>
          <w:i/>
          <w:iCs/>
          <w:szCs w:val="28"/>
          <w14:ligatures w14:val="standardContextual"/>
        </w:rPr>
        <w:t>also</w:t>
      </w:r>
      <w:r w:rsidRPr="00C43543">
        <w:rPr>
          <w:szCs w:val="28"/>
          <w14:ligatures w14:val="standardContextual"/>
        </w:rPr>
        <w:t xml:space="preserve"> </w:t>
      </w:r>
      <w:proofErr w:type="spellStart"/>
      <w:r w:rsidRPr="00C43543">
        <w:rPr>
          <w:i/>
          <w:iCs/>
          <w:szCs w:val="28"/>
          <w14:ligatures w14:val="standardContextual"/>
        </w:rPr>
        <w:t>Haslip</w:t>
      </w:r>
      <w:proofErr w:type="spellEnd"/>
      <w:r w:rsidRPr="00C43543">
        <w:rPr>
          <w:szCs w:val="28"/>
          <w14:ligatures w14:val="standardContextual"/>
        </w:rPr>
        <w:t>, 499 U.S. at 17-18</w:t>
      </w:r>
      <w:r w:rsidR="00140E2B" w:rsidRPr="00C43543">
        <w:rPr>
          <w:szCs w:val="28"/>
          <w14:ligatures w14:val="standardContextual"/>
        </w:rPr>
        <w:fldChar w:fldCharType="begin"/>
      </w:r>
      <w:r w:rsidR="00140E2B" w:rsidRPr="00C43543">
        <w:rPr>
          <w:szCs w:val="28"/>
          <w14:ligatures w14:val="standardContextual"/>
        </w:rPr>
        <w:instrText xml:space="preserve"> TA \s "Haslip, 499 U.S. 1" </w:instrText>
      </w:r>
      <w:r w:rsidR="00140E2B" w:rsidRPr="00C43543">
        <w:rPr>
          <w:szCs w:val="28"/>
          <w14:ligatures w14:val="standardContextual"/>
        </w:rPr>
        <w:fldChar w:fldCharType="end"/>
      </w:r>
      <w:r w:rsidRPr="00C43543">
        <w:rPr>
          <w:szCs w:val="28"/>
          <w14:ligatures w14:val="standardContextual"/>
        </w:rPr>
        <w:t xml:space="preserve"> (consulting history in due-process inquiry).</w:t>
      </w:r>
    </w:p>
    <w:p w14:paraId="6511643F" w14:textId="78BC7C60" w:rsidR="00CF0162" w:rsidRPr="00C43543" w:rsidRDefault="00CF0162" w:rsidP="00CF0162">
      <w:pPr>
        <w:pStyle w:val="BodyText"/>
        <w:rPr>
          <w:szCs w:val="28"/>
          <w14:ligatures w14:val="standardContextual"/>
        </w:rPr>
      </w:pPr>
      <w:r w:rsidRPr="00C43543">
        <w:rPr>
          <w:szCs w:val="28"/>
          <w14:ligatures w14:val="standardContextual"/>
        </w:rPr>
        <w:lastRenderedPageBreak/>
        <w:t>Monsanto takes the position (at 236-39) that the Fourteenth Amendment caps the damages at “a 1:1 ratio” because its conduct (1) was not “</w:t>
      </w:r>
      <w:r w:rsidR="003702AB" w:rsidRPr="00C43543">
        <w:rPr>
          <w:szCs w:val="28"/>
          <w14:ligatures w14:val="standardContextual"/>
        </w:rPr>
        <w:t>particularly egregious</w:t>
      </w:r>
      <w:r w:rsidRPr="00C43543">
        <w:rPr>
          <w:szCs w:val="28"/>
          <w14:ligatures w14:val="standardContextual"/>
        </w:rPr>
        <w:t xml:space="preserve">” and (2) caused “substantial” harm. But as just discussed, Monsanto’s conduct </w:t>
      </w:r>
      <w:r w:rsidRPr="00C43543">
        <w:rPr>
          <w:i/>
          <w:iCs/>
          <w:szCs w:val="28"/>
          <w14:ligatures w14:val="standardContextual"/>
        </w:rPr>
        <w:t>was</w:t>
      </w:r>
      <w:r w:rsidRPr="00C43543">
        <w:rPr>
          <w:szCs w:val="28"/>
          <w14:ligatures w14:val="standardContextual"/>
        </w:rPr>
        <w:t xml:space="preserve"> </w:t>
      </w:r>
      <w:r w:rsidR="003702AB" w:rsidRPr="00C43543">
        <w:rPr>
          <w:szCs w:val="28"/>
          <w14:ligatures w14:val="standardContextual"/>
        </w:rPr>
        <w:t>particularly egregious.</w:t>
      </w:r>
      <w:r w:rsidRPr="00C43543">
        <w:rPr>
          <w:szCs w:val="28"/>
          <w14:ligatures w14:val="standardContextual"/>
        </w:rPr>
        <w:t xml:space="preserve"> That alone is enough to reject Monsanto’s argument.</w:t>
      </w:r>
    </w:p>
    <w:p w14:paraId="673FB653" w14:textId="42BBD064" w:rsidR="00CF0162" w:rsidRPr="00C43543" w:rsidRDefault="003702AB" w:rsidP="003702AB">
      <w:pPr>
        <w:pStyle w:val="BodyText"/>
        <w:rPr>
          <w:szCs w:val="28"/>
          <w14:ligatures w14:val="standardContextual"/>
        </w:rPr>
      </w:pPr>
      <w:r w:rsidRPr="00C43543">
        <w:rPr>
          <w:szCs w:val="28"/>
          <w14:ligatures w14:val="standardContextual"/>
        </w:rPr>
        <w:t>At any rate, a 1:1 ratio is not the “presumptive limit” for any case involving</w:t>
      </w:r>
      <w:r w:rsidR="00D14F95" w:rsidRPr="00C43543">
        <w:rPr>
          <w:szCs w:val="28"/>
          <w14:ligatures w14:val="standardContextual"/>
        </w:rPr>
        <w:t xml:space="preserve"> “</w:t>
      </w:r>
      <w:r w:rsidRPr="00C43543">
        <w:rPr>
          <w:szCs w:val="28"/>
          <w14:ligatures w14:val="standardContextual"/>
        </w:rPr>
        <w:t xml:space="preserve">substantial” harm. Br. 236. If it were, the many statutes that have provided for multiple damages for “over 700 years” would all be presumptively unconstitutional as applied to any conduct causing substantial harm. </w:t>
      </w:r>
      <w:r w:rsidR="00CF0162" w:rsidRPr="00C43543">
        <w:rPr>
          <w:i/>
          <w:iCs/>
          <w:szCs w:val="28"/>
          <w14:ligatures w14:val="standardContextual"/>
        </w:rPr>
        <w:t>Campbell</w:t>
      </w:r>
      <w:r w:rsidR="00CF0162" w:rsidRPr="00C43543">
        <w:rPr>
          <w:szCs w:val="28"/>
          <w14:ligatures w14:val="standardContextual"/>
        </w:rPr>
        <w:t>, 538 U.S. at 425</w:t>
      </w:r>
      <w:r w:rsidR="00140E2B" w:rsidRPr="00C43543">
        <w:rPr>
          <w:szCs w:val="28"/>
          <w14:ligatures w14:val="standardContextual"/>
        </w:rPr>
        <w:fldChar w:fldCharType="begin"/>
      </w:r>
      <w:r w:rsidR="00140E2B" w:rsidRPr="00C43543">
        <w:rPr>
          <w:szCs w:val="28"/>
          <w14:ligatures w14:val="standardContextual"/>
        </w:rPr>
        <w:instrText xml:space="preserve"> TA \s "Campbell v. ITE Imperial, 107 Wn.2d 807" </w:instrText>
      </w:r>
      <w:r w:rsidR="00140E2B" w:rsidRPr="00C43543">
        <w:rPr>
          <w:szCs w:val="28"/>
          <w14:ligatures w14:val="standardContextual"/>
        </w:rPr>
        <w:fldChar w:fldCharType="end"/>
      </w:r>
      <w:r w:rsidR="00CF0162" w:rsidRPr="00C43543">
        <w:rPr>
          <w:szCs w:val="28"/>
          <w14:ligatures w14:val="standardContextual"/>
        </w:rPr>
        <w:t>. Put differently, they are constitutional only as applied to conduct causing</w:t>
      </w:r>
      <w:r w:rsidR="00CF0162" w:rsidRPr="00C43543">
        <w:rPr>
          <w:i/>
          <w:iCs/>
          <w:szCs w:val="28"/>
          <w14:ligatures w14:val="standardContextual"/>
        </w:rPr>
        <w:t xml:space="preserve"> insubstantial</w:t>
      </w:r>
      <w:r w:rsidR="00CF0162" w:rsidRPr="00C43543">
        <w:rPr>
          <w:szCs w:val="28"/>
          <w14:ligatures w14:val="standardContextual"/>
        </w:rPr>
        <w:t xml:space="preserve"> harm. That includes not just those historical laws, but also all current state and “federal law [that] allows or mandates imposition of multiple damages for a wide assortment of offenses, including violations of the antitrust laws,” RICO, “trademark laws,” and “patent laws.”</w:t>
      </w:r>
      <w:r w:rsidR="00CF0162" w:rsidRPr="00C43543">
        <w:rPr>
          <w:i/>
          <w:iCs/>
          <w:szCs w:val="28"/>
          <w14:ligatures w14:val="standardContextual"/>
        </w:rPr>
        <w:t xml:space="preserve"> Gore</w:t>
      </w:r>
      <w:r w:rsidR="00CF0162" w:rsidRPr="00C43543">
        <w:rPr>
          <w:szCs w:val="28"/>
          <w14:ligatures w14:val="standardContextual"/>
        </w:rPr>
        <w:t>, 517 U.S. at 581 &amp; n.33</w:t>
      </w:r>
      <w:r w:rsidR="00140E2B" w:rsidRPr="00C43543">
        <w:rPr>
          <w:szCs w:val="28"/>
          <w14:ligatures w14:val="standardContextual"/>
        </w:rPr>
        <w:fldChar w:fldCharType="begin"/>
      </w:r>
      <w:r w:rsidR="00140E2B" w:rsidRPr="00C43543">
        <w:rPr>
          <w:szCs w:val="28"/>
          <w14:ligatures w14:val="standardContextual"/>
        </w:rPr>
        <w:instrText xml:space="preserve"> TA \s "BMW v. Gore, 517 U.S. 559" </w:instrText>
      </w:r>
      <w:r w:rsidR="00140E2B" w:rsidRPr="00C43543">
        <w:rPr>
          <w:szCs w:val="28"/>
          <w14:ligatures w14:val="standardContextual"/>
        </w:rPr>
        <w:fldChar w:fldCharType="end"/>
      </w:r>
      <w:r w:rsidR="00CF0162" w:rsidRPr="00C43543">
        <w:rPr>
          <w:szCs w:val="28"/>
          <w14:ligatures w14:val="standardContextual"/>
        </w:rPr>
        <w:t>. No court has embraced that bizarre and radical view.</w:t>
      </w:r>
    </w:p>
    <w:p w14:paraId="12428E82" w14:textId="74AD1625" w:rsidR="00CF0162" w:rsidRPr="00C43543" w:rsidRDefault="00CF0162" w:rsidP="00CF0162">
      <w:pPr>
        <w:pStyle w:val="BodyText"/>
        <w:rPr>
          <w:szCs w:val="28"/>
          <w14:ligatures w14:val="standardContextual"/>
        </w:rPr>
      </w:pPr>
      <w:r w:rsidRPr="00C43543">
        <w:rPr>
          <w:szCs w:val="28"/>
          <w14:ligatures w14:val="standardContextual"/>
        </w:rPr>
        <w:t xml:space="preserve">To the contrary, the U.S. Supreme Court has twice upheld awards far exceeding the 1:1 cap urged by Monsanto. In one case, the Court upheld a $10 million award where the “relevant ratio” was </w:t>
      </w:r>
      <w:r w:rsidRPr="00C43543">
        <w:rPr>
          <w:szCs w:val="28"/>
          <w14:ligatures w14:val="standardContextual"/>
        </w:rPr>
        <w:lastRenderedPageBreak/>
        <w:t xml:space="preserve">as high as “10 to 1.” </w:t>
      </w:r>
      <w:r w:rsidRPr="00C43543">
        <w:rPr>
          <w:i/>
          <w:iCs/>
          <w:szCs w:val="28"/>
          <w14:ligatures w14:val="standardContextual"/>
        </w:rPr>
        <w:t>Gore</w:t>
      </w:r>
      <w:r w:rsidRPr="00C43543">
        <w:rPr>
          <w:szCs w:val="28"/>
          <w14:ligatures w14:val="standardContextual"/>
        </w:rPr>
        <w:t>, 517 U.S. at 581</w:t>
      </w:r>
      <w:r w:rsidR="00140E2B" w:rsidRPr="00C43543">
        <w:rPr>
          <w:szCs w:val="28"/>
          <w14:ligatures w14:val="standardContextual"/>
        </w:rPr>
        <w:fldChar w:fldCharType="begin"/>
      </w:r>
      <w:r w:rsidR="00140E2B" w:rsidRPr="00C43543">
        <w:rPr>
          <w:szCs w:val="28"/>
          <w14:ligatures w14:val="standardContextual"/>
        </w:rPr>
        <w:instrText xml:space="preserve"> TA \s "BMW v. Gore, 517 U.S. 559" </w:instrText>
      </w:r>
      <w:r w:rsidR="00140E2B" w:rsidRPr="00C43543">
        <w:rPr>
          <w:szCs w:val="28"/>
          <w14:ligatures w14:val="standardContextual"/>
        </w:rPr>
        <w:fldChar w:fldCharType="end"/>
      </w:r>
      <w:r w:rsidRPr="00C43543">
        <w:rPr>
          <w:szCs w:val="28"/>
          <w14:ligatures w14:val="standardContextual"/>
        </w:rPr>
        <w:t xml:space="preserve"> (discussing </w:t>
      </w:r>
      <w:r w:rsidRPr="00C43543">
        <w:rPr>
          <w:i/>
          <w:iCs/>
          <w:szCs w:val="28"/>
          <w14:ligatures w14:val="standardContextual"/>
        </w:rPr>
        <w:t>TXO</w:t>
      </w:r>
      <w:r w:rsidRPr="00C43543">
        <w:rPr>
          <w:szCs w:val="28"/>
          <w14:ligatures w14:val="standardContextual"/>
        </w:rPr>
        <w:t xml:space="preserve">); </w:t>
      </w:r>
      <w:r w:rsidRPr="00C43543">
        <w:rPr>
          <w:i/>
          <w:iCs/>
          <w:szCs w:val="28"/>
          <w14:ligatures w14:val="standardContextual"/>
        </w:rPr>
        <w:t>see TXO</w:t>
      </w:r>
      <w:r w:rsidRPr="00C43543">
        <w:rPr>
          <w:szCs w:val="28"/>
          <w14:ligatures w14:val="standardContextual"/>
        </w:rPr>
        <w:t>, 509 U.S. at 462</w:t>
      </w:r>
      <w:r w:rsidR="00140E2B" w:rsidRPr="00C43543">
        <w:rPr>
          <w:szCs w:val="28"/>
          <w14:ligatures w14:val="standardContextual"/>
        </w:rPr>
        <w:fldChar w:fldCharType="begin"/>
      </w:r>
      <w:r w:rsidR="00140E2B" w:rsidRPr="00C43543">
        <w:rPr>
          <w:szCs w:val="28"/>
          <w14:ligatures w14:val="standardContextual"/>
        </w:rPr>
        <w:instrText xml:space="preserve"> TA \s "TXO v. Alliance, 509 U.S. 443" </w:instrText>
      </w:r>
      <w:r w:rsidR="00140E2B" w:rsidRPr="00C43543">
        <w:rPr>
          <w:szCs w:val="28"/>
          <w14:ligatures w14:val="standardContextual"/>
        </w:rPr>
        <w:fldChar w:fldCharType="end"/>
      </w:r>
      <w:r w:rsidRPr="00C43543">
        <w:rPr>
          <w:szCs w:val="28"/>
          <w14:ligatures w14:val="standardContextual"/>
        </w:rPr>
        <w:t xml:space="preserve"> (holding that a ratio of $10 million to $1 million “does not, in our view, jar one’s constitutional sensibilities”). Because $1 million</w:t>
      </w:r>
      <w:r w:rsidR="003702AB" w:rsidRPr="00C43543">
        <w:rPr>
          <w:szCs w:val="28"/>
          <w14:ligatures w14:val="standardContextual"/>
        </w:rPr>
        <w:t xml:space="preserve"> is</w:t>
      </w:r>
      <w:r w:rsidRPr="00C43543">
        <w:rPr>
          <w:szCs w:val="28"/>
          <w14:ligatures w14:val="standardContextual"/>
        </w:rPr>
        <w:t xml:space="preserve"> “substantial” under </w:t>
      </w:r>
      <w:r w:rsidRPr="00C43543">
        <w:rPr>
          <w:i/>
          <w:iCs/>
          <w:szCs w:val="28"/>
          <w14:ligatures w14:val="standardContextual"/>
        </w:rPr>
        <w:t>Campbell</w:t>
      </w:r>
      <w:r w:rsidRPr="00C43543">
        <w:rPr>
          <w:szCs w:val="28"/>
          <w14:ligatures w14:val="standardContextual"/>
        </w:rPr>
        <w:t xml:space="preserve">, 538 U.S. </w:t>
      </w:r>
      <w:r w:rsidR="003702AB" w:rsidRPr="00C43543">
        <w:rPr>
          <w:szCs w:val="28"/>
          <w14:ligatures w14:val="standardContextual"/>
        </w:rPr>
        <w:t xml:space="preserve">at </w:t>
      </w:r>
      <w:r w:rsidRPr="00C43543">
        <w:rPr>
          <w:szCs w:val="28"/>
          <w14:ligatures w14:val="standardContextual"/>
        </w:rPr>
        <w:t>4</w:t>
      </w:r>
      <w:r w:rsidR="003702AB" w:rsidRPr="00C43543">
        <w:rPr>
          <w:szCs w:val="28"/>
          <w14:ligatures w14:val="standardContextual"/>
        </w:rPr>
        <w:t>26</w:t>
      </w:r>
      <w:r w:rsidR="00140E2B" w:rsidRPr="00C43543">
        <w:rPr>
          <w:szCs w:val="28"/>
          <w14:ligatures w14:val="standardContextual"/>
        </w:rPr>
        <w:fldChar w:fldCharType="begin"/>
      </w:r>
      <w:r w:rsidR="00140E2B" w:rsidRPr="00C43543">
        <w:rPr>
          <w:szCs w:val="28"/>
          <w14:ligatures w14:val="standardContextual"/>
        </w:rPr>
        <w:instrText xml:space="preserve"> TA \s "Campbell v. ITE Imperial, 107 Wn.2d 807" </w:instrText>
      </w:r>
      <w:r w:rsidR="00140E2B" w:rsidRPr="00C43543">
        <w:rPr>
          <w:szCs w:val="28"/>
          <w14:ligatures w14:val="standardContextual"/>
        </w:rPr>
        <w:fldChar w:fldCharType="end"/>
      </w:r>
      <w:r w:rsidRPr="00C43543">
        <w:rPr>
          <w:szCs w:val="28"/>
          <w14:ligatures w14:val="standardContextual"/>
        </w:rPr>
        <w:t>, th</w:t>
      </w:r>
      <w:r w:rsidR="00DF59B2">
        <w:rPr>
          <w:szCs w:val="28"/>
          <w14:ligatures w14:val="standardContextual"/>
        </w:rPr>
        <w:t>at</w:t>
      </w:r>
      <w:r w:rsidRPr="00C43543">
        <w:rPr>
          <w:szCs w:val="28"/>
          <w14:ligatures w14:val="standardContextual"/>
        </w:rPr>
        <w:t xml:space="preserve"> case would be wrongly decided if Monsanto’s view were the law. In another case, the Court held that an award of “more than 4 times the </w:t>
      </w:r>
      <w:proofErr w:type="gramStart"/>
      <w:r w:rsidRPr="00C43543">
        <w:rPr>
          <w:szCs w:val="28"/>
          <w14:ligatures w14:val="standardContextual"/>
        </w:rPr>
        <w:t>amount</w:t>
      </w:r>
      <w:proofErr w:type="gramEnd"/>
      <w:r w:rsidRPr="00C43543">
        <w:rPr>
          <w:szCs w:val="28"/>
          <w14:ligatures w14:val="standardContextual"/>
        </w:rPr>
        <w:t xml:space="preserve"> of compensatory damages” did not “cross the line into the area of constitutional impropriety.” </w:t>
      </w:r>
      <w:proofErr w:type="spellStart"/>
      <w:r w:rsidRPr="00C43543">
        <w:rPr>
          <w:i/>
          <w:iCs/>
          <w:szCs w:val="28"/>
          <w14:ligatures w14:val="standardContextual"/>
        </w:rPr>
        <w:t>Haslip</w:t>
      </w:r>
      <w:proofErr w:type="spellEnd"/>
      <w:r w:rsidRPr="00C43543">
        <w:rPr>
          <w:szCs w:val="28"/>
          <w14:ligatures w14:val="standardContextual"/>
        </w:rPr>
        <w:t>, 499 U.S. at 23-24</w:t>
      </w:r>
      <w:r w:rsidR="00140E2B" w:rsidRPr="00C43543">
        <w:rPr>
          <w:szCs w:val="28"/>
          <w14:ligatures w14:val="standardContextual"/>
        </w:rPr>
        <w:fldChar w:fldCharType="begin"/>
      </w:r>
      <w:r w:rsidR="00140E2B" w:rsidRPr="00C43543">
        <w:rPr>
          <w:szCs w:val="28"/>
          <w14:ligatures w14:val="standardContextual"/>
        </w:rPr>
        <w:instrText xml:space="preserve"> TA \s "Haslip, 499 U.S. 1" </w:instrText>
      </w:r>
      <w:r w:rsidR="00140E2B" w:rsidRPr="00C43543">
        <w:rPr>
          <w:szCs w:val="28"/>
          <w14:ligatures w14:val="standardContextual"/>
        </w:rPr>
        <w:fldChar w:fldCharType="end"/>
      </w:r>
      <w:r w:rsidRPr="00C43543">
        <w:rPr>
          <w:szCs w:val="28"/>
          <w14:ligatures w14:val="standardContextual"/>
        </w:rPr>
        <w:t>. Monsanto simply ignores these cases.</w:t>
      </w:r>
    </w:p>
    <w:p w14:paraId="623BA9A6" w14:textId="02EBC114" w:rsidR="00D34201" w:rsidRPr="00C43543" w:rsidRDefault="00CF0162" w:rsidP="00D34201">
      <w:pPr>
        <w:pStyle w:val="BodyText"/>
        <w:rPr>
          <w:szCs w:val="28"/>
          <w14:ligatures w14:val="standardContextual"/>
        </w:rPr>
      </w:pPr>
      <w:r w:rsidRPr="00C43543">
        <w:rPr>
          <w:szCs w:val="28"/>
          <w14:ligatures w14:val="standardContextual"/>
        </w:rPr>
        <w:t xml:space="preserve">Monsanto also ignores two recent Missouri products-liability cases allowing ratios of more than twice the ratio here, even though the actual damages were substantial. </w:t>
      </w:r>
      <w:r w:rsidRPr="00C43543">
        <w:rPr>
          <w:i/>
          <w:iCs/>
          <w:szCs w:val="28"/>
          <w14:ligatures w14:val="standardContextual"/>
        </w:rPr>
        <w:t>See Ingham</w:t>
      </w:r>
      <w:r w:rsidRPr="00C43543">
        <w:rPr>
          <w:szCs w:val="28"/>
          <w14:ligatures w14:val="standardContextual"/>
        </w:rPr>
        <w:t>, 608 S.W.3d at 721-24</w:t>
      </w:r>
      <w:r w:rsidR="00140E2B" w:rsidRPr="00C43543">
        <w:rPr>
          <w:szCs w:val="28"/>
          <w14:ligatures w14:val="standardContextual"/>
        </w:rPr>
        <w:fldChar w:fldCharType="begin"/>
      </w:r>
      <w:r w:rsidR="00140E2B" w:rsidRPr="00C43543">
        <w:rPr>
          <w:szCs w:val="28"/>
          <w14:ligatures w14:val="standardContextual"/>
        </w:rPr>
        <w:instrText xml:space="preserve"> TA \s "Ingham v. J&amp;J, 608 S.W.3d 663" </w:instrText>
      </w:r>
      <w:r w:rsidR="00140E2B" w:rsidRPr="00C43543">
        <w:rPr>
          <w:szCs w:val="28"/>
          <w14:ligatures w14:val="standardContextual"/>
        </w:rPr>
        <w:fldChar w:fldCharType="end"/>
      </w:r>
      <w:r w:rsidRPr="00C43543">
        <w:rPr>
          <w:szCs w:val="28"/>
          <w14:ligatures w14:val="standardContextual"/>
        </w:rPr>
        <w:t xml:space="preserve"> (upholding 6:1 ratio where actual damages were $25 million per plaintiff); </w:t>
      </w:r>
      <w:proofErr w:type="spellStart"/>
      <w:r w:rsidRPr="00C43543">
        <w:rPr>
          <w:i/>
          <w:iCs/>
          <w:szCs w:val="28"/>
          <w14:ligatures w14:val="standardContextual"/>
        </w:rPr>
        <w:t>Poage</w:t>
      </w:r>
      <w:proofErr w:type="spellEnd"/>
      <w:r w:rsidRPr="00C43543">
        <w:rPr>
          <w:szCs w:val="28"/>
          <w14:ligatures w14:val="standardContextual"/>
        </w:rPr>
        <w:t>, 523 S.W.</w:t>
      </w:r>
      <w:r w:rsidR="00D14F95" w:rsidRPr="00C43543">
        <w:rPr>
          <w:szCs w:val="28"/>
          <w14:ligatures w14:val="standardContextual"/>
        </w:rPr>
        <w:t xml:space="preserve">3d </w:t>
      </w:r>
      <w:r w:rsidRPr="00C43543">
        <w:rPr>
          <w:szCs w:val="28"/>
          <w14:ligatures w14:val="standardContextual"/>
        </w:rPr>
        <w:t>at 523-</w:t>
      </w:r>
      <w:r w:rsidR="00D14F95" w:rsidRPr="00C43543">
        <w:rPr>
          <w:szCs w:val="28"/>
          <w14:ligatures w14:val="standardContextual"/>
        </w:rPr>
        <w:t>24</w:t>
      </w:r>
      <w:r w:rsidR="00140E2B" w:rsidRPr="00C43543">
        <w:rPr>
          <w:szCs w:val="28"/>
          <w14:ligatures w14:val="standardContextual"/>
        </w:rPr>
        <w:fldChar w:fldCharType="begin"/>
      </w:r>
      <w:r w:rsidR="00140E2B" w:rsidRPr="00C43543">
        <w:rPr>
          <w:szCs w:val="28"/>
          <w14:ligatures w14:val="standardContextual"/>
        </w:rPr>
        <w:instrText xml:space="preserve"> TA \s "Poage v. Crane, 523 S.W.3d 496" </w:instrText>
      </w:r>
      <w:r w:rsidR="00140E2B" w:rsidRPr="00C43543">
        <w:rPr>
          <w:szCs w:val="28"/>
          <w14:ligatures w14:val="standardContextual"/>
        </w:rPr>
        <w:fldChar w:fldCharType="end"/>
      </w:r>
      <w:r w:rsidRPr="00C43543">
        <w:rPr>
          <w:szCs w:val="28"/>
          <w14:ligatures w14:val="standardContextual"/>
        </w:rPr>
        <w:t xml:space="preserve"> (upholding 7:1 ratio where actual damages were $1.5 million)</w:t>
      </w:r>
      <w:r w:rsidR="00D34201" w:rsidRPr="00C43543">
        <w:rPr>
          <w:szCs w:val="28"/>
          <w14:ligatures w14:val="standardContextual"/>
        </w:rPr>
        <w:t xml:space="preserve">. </w:t>
      </w:r>
    </w:p>
    <w:p w14:paraId="28A1551B" w14:textId="03E8C305" w:rsidR="00CF0162" w:rsidRPr="00C43543" w:rsidRDefault="00CF0162" w:rsidP="00D34201">
      <w:pPr>
        <w:pStyle w:val="BodyText"/>
        <w:rPr>
          <w:szCs w:val="28"/>
          <w14:ligatures w14:val="standardContextual"/>
        </w:rPr>
      </w:pPr>
      <w:r w:rsidRPr="00C43543">
        <w:rPr>
          <w:szCs w:val="28"/>
          <w14:ligatures w14:val="standardContextual"/>
        </w:rPr>
        <w:t xml:space="preserve">Instead of grappling with any of these decisions, Monsanto relies on a single sentence from </w:t>
      </w:r>
      <w:r w:rsidRPr="00C43543">
        <w:rPr>
          <w:i/>
          <w:iCs/>
          <w:szCs w:val="28"/>
          <w14:ligatures w14:val="standardContextual"/>
        </w:rPr>
        <w:t>Campbell</w:t>
      </w:r>
      <w:r w:rsidRPr="00C43543">
        <w:rPr>
          <w:szCs w:val="28"/>
          <w14:ligatures w14:val="standardContextual"/>
        </w:rPr>
        <w:t xml:space="preserve"> musing that, “[w]hen compensatory damages are substantial, then a lesser ratio, perhaps only equal to compensatory damages, can reach the outermost limit of the due process guarantee.” 538 U.S. at 425</w:t>
      </w:r>
      <w:r w:rsidR="00140E2B" w:rsidRPr="00C43543">
        <w:rPr>
          <w:szCs w:val="28"/>
          <w14:ligatures w14:val="standardContextual"/>
        </w:rPr>
        <w:fldChar w:fldCharType="begin"/>
      </w:r>
      <w:r w:rsidR="00140E2B" w:rsidRPr="00C43543">
        <w:rPr>
          <w:szCs w:val="28"/>
          <w14:ligatures w14:val="standardContextual"/>
        </w:rPr>
        <w:instrText xml:space="preserve"> TA \s "Campbell v. ITE Imperial, 107 Wn.2d 807" </w:instrText>
      </w:r>
      <w:r w:rsidR="00140E2B" w:rsidRPr="00C43543">
        <w:rPr>
          <w:szCs w:val="28"/>
          <w14:ligatures w14:val="standardContextual"/>
        </w:rPr>
        <w:fldChar w:fldCharType="end"/>
      </w:r>
      <w:r w:rsidRPr="00C43543">
        <w:rPr>
          <w:szCs w:val="28"/>
          <w14:ligatures w14:val="standardContextual"/>
        </w:rPr>
        <w:t xml:space="preserve">. Monsanto reads this </w:t>
      </w:r>
      <w:r w:rsidRPr="00C43543">
        <w:rPr>
          <w:szCs w:val="28"/>
          <w14:ligatures w14:val="standardContextual"/>
        </w:rPr>
        <w:lastRenderedPageBreak/>
        <w:t xml:space="preserve">sentence (at 236) as installing a rigid “1:1 ratio [as] the presumptive limit” for “substantial” compensatory damages. </w:t>
      </w:r>
    </w:p>
    <w:p w14:paraId="504ABBC8" w14:textId="5D61C054" w:rsidR="00CF0162" w:rsidRPr="00C43543" w:rsidRDefault="00CF0162" w:rsidP="00CF0162">
      <w:pPr>
        <w:pStyle w:val="BodyText"/>
        <w:rPr>
          <w:szCs w:val="28"/>
          <w14:ligatures w14:val="standardContextual"/>
        </w:rPr>
      </w:pPr>
      <w:r w:rsidRPr="00C43543">
        <w:rPr>
          <w:szCs w:val="28"/>
          <w14:ligatures w14:val="standardContextual"/>
        </w:rPr>
        <w:t xml:space="preserve">But as the U.S. Solicitor General recently explained: “That conclusion oversimplifies the relevant portion of </w:t>
      </w:r>
      <w:r w:rsidRPr="00C43543">
        <w:rPr>
          <w:i/>
          <w:iCs/>
          <w:szCs w:val="28"/>
          <w14:ligatures w14:val="standardContextual"/>
        </w:rPr>
        <w:t>Campbell</w:t>
      </w:r>
      <w:r w:rsidRPr="00C43543">
        <w:rPr>
          <w:szCs w:val="28"/>
          <w14:ligatures w14:val="standardContextual"/>
        </w:rPr>
        <w:t xml:space="preserve">. The fact that a particular compensatory award is ‘substantial’ is not dispositive standing alone. It would be illogical to suggest that the </w:t>
      </w:r>
      <w:r w:rsidRPr="00C43543">
        <w:rPr>
          <w:i/>
          <w:iCs/>
          <w:szCs w:val="28"/>
          <w14:ligatures w14:val="standardContextual"/>
        </w:rPr>
        <w:t>more</w:t>
      </w:r>
      <w:r w:rsidRPr="00C43543">
        <w:rPr>
          <w:szCs w:val="28"/>
          <w14:ligatures w14:val="standardContextual"/>
        </w:rPr>
        <w:t xml:space="preserve"> harm a defendant inflicts, the </w:t>
      </w:r>
      <w:r w:rsidRPr="00C43543">
        <w:rPr>
          <w:i/>
          <w:iCs/>
          <w:szCs w:val="28"/>
          <w14:ligatures w14:val="standardContextual"/>
        </w:rPr>
        <w:t>less</w:t>
      </w:r>
      <w:r w:rsidRPr="00C43543">
        <w:rPr>
          <w:szCs w:val="28"/>
          <w14:ligatures w14:val="standardContextual"/>
        </w:rPr>
        <w:t xml:space="preserve"> susceptible he is to punitive damages.” U.S. Br. in </w:t>
      </w:r>
      <w:r w:rsidRPr="00C43543">
        <w:rPr>
          <w:i/>
          <w:iCs/>
          <w:szCs w:val="28"/>
          <w14:ligatures w14:val="standardContextual"/>
        </w:rPr>
        <w:t>Epic Sys. Corp. v. Tata Consultancy Servs. Ltd.</w:t>
      </w:r>
      <w:r w:rsidRPr="00C43543">
        <w:rPr>
          <w:szCs w:val="28"/>
          <w14:ligatures w14:val="standardContextual"/>
        </w:rPr>
        <w:t xml:space="preserve">, No. 20-1426 (U.S.), at 13-14. Such a reading would also have far-reaching ramifications—overruling multiple prior Supreme Court </w:t>
      </w:r>
      <w:r w:rsidR="00EC39F7" w:rsidRPr="00C43543">
        <w:rPr>
          <w:szCs w:val="28"/>
          <w14:ligatures w14:val="standardContextual"/>
        </w:rPr>
        <w:t>decisions</w:t>
      </w:r>
      <w:r w:rsidRPr="00C43543">
        <w:rPr>
          <w:szCs w:val="28"/>
          <w14:ligatures w14:val="standardContextual"/>
        </w:rPr>
        <w:t xml:space="preserve">, casting aside centuries of </w:t>
      </w:r>
      <w:r w:rsidR="00EC39F7" w:rsidRPr="00C43543">
        <w:rPr>
          <w:szCs w:val="28"/>
          <w14:ligatures w14:val="standardContextual"/>
        </w:rPr>
        <w:t>precedent</w:t>
      </w:r>
      <w:r w:rsidRPr="00C43543">
        <w:rPr>
          <w:szCs w:val="28"/>
          <w14:ligatures w14:val="standardContextual"/>
        </w:rPr>
        <w:t>, and invalidating key provisions of landmark laws in their most important applications.</w:t>
      </w:r>
    </w:p>
    <w:p w14:paraId="5E12D2BA" w14:textId="1CAE677D" w:rsidR="00CF0162" w:rsidRPr="00C43543" w:rsidRDefault="00CF0162" w:rsidP="00CF0162">
      <w:pPr>
        <w:pStyle w:val="BodyText"/>
        <w:rPr>
          <w:szCs w:val="28"/>
          <w14:ligatures w14:val="standardContextual"/>
        </w:rPr>
      </w:pPr>
      <w:r w:rsidRPr="00C43543">
        <w:rPr>
          <w:szCs w:val="28"/>
          <w14:ligatures w14:val="standardContextual"/>
        </w:rPr>
        <w:t xml:space="preserve">Rather than take such a radical step, </w:t>
      </w:r>
      <w:r w:rsidRPr="00C43543">
        <w:rPr>
          <w:i/>
          <w:iCs/>
          <w:szCs w:val="28"/>
          <w14:ligatures w14:val="standardContextual"/>
        </w:rPr>
        <w:t>Campbell</w:t>
      </w:r>
      <w:r w:rsidRPr="00C43543">
        <w:rPr>
          <w:szCs w:val="28"/>
          <w14:ligatures w14:val="standardContextual"/>
        </w:rPr>
        <w:t xml:space="preserve"> made clear that “there are no rigid benchmarks that a punitive damages award may not surpass,” and that the inquiry is context specific. 538 U.S. at 425.</w:t>
      </w:r>
      <w:r w:rsidR="00EA239E" w:rsidRPr="00C43543">
        <w:rPr>
          <w:szCs w:val="28"/>
          <w14:ligatures w14:val="standardContextual"/>
        </w:rPr>
        <w:fldChar w:fldCharType="begin"/>
      </w:r>
      <w:r w:rsidR="00EA239E" w:rsidRPr="00C43543">
        <w:rPr>
          <w:szCs w:val="28"/>
          <w14:ligatures w14:val="standardContextual"/>
        </w:rPr>
        <w:instrText xml:space="preserve"> TA \s "Campbell v. ITE Imperial, 107 Wn.2d 807" </w:instrText>
      </w:r>
      <w:r w:rsidR="00EA239E" w:rsidRPr="00C43543">
        <w:rPr>
          <w:szCs w:val="28"/>
          <w14:ligatures w14:val="standardContextual"/>
        </w:rPr>
        <w:fldChar w:fldCharType="end"/>
      </w:r>
      <w:r w:rsidRPr="00C43543">
        <w:rPr>
          <w:szCs w:val="28"/>
          <w14:ligatures w14:val="standardContextual"/>
        </w:rPr>
        <w:t xml:space="preserve"> Especially given the reprehensibility of Monsanto’s conduct, a ratio of under 3:1 in this case is well within constitutional limits.</w:t>
      </w:r>
      <w:r w:rsidRPr="00C43543">
        <w:rPr>
          <w:rStyle w:val="FootnoteReference"/>
          <w:bCs/>
          <w:szCs w:val="28"/>
          <w14:ligatures w14:val="standardContextual"/>
        </w:rPr>
        <w:footnoteReference w:id="34"/>
      </w:r>
    </w:p>
    <w:p w14:paraId="132B1911" w14:textId="7E2A91CE" w:rsidR="00CF0162" w:rsidRPr="00C43543" w:rsidRDefault="00CF0162" w:rsidP="00CF0162">
      <w:pPr>
        <w:pStyle w:val="BodyText"/>
        <w:rPr>
          <w:szCs w:val="28"/>
          <w14:ligatures w14:val="standardContextual"/>
        </w:rPr>
      </w:pPr>
      <w:r w:rsidRPr="00C43543">
        <w:rPr>
          <w:b/>
          <w:i/>
          <w:iCs/>
          <w:szCs w:val="28"/>
          <w14:ligatures w14:val="standardContextual"/>
        </w:rPr>
        <w:lastRenderedPageBreak/>
        <w:t>Civil penalties.</w:t>
      </w:r>
      <w:r w:rsidRPr="00C43543">
        <w:rPr>
          <w:szCs w:val="28"/>
          <w14:ligatures w14:val="standardContextual"/>
        </w:rPr>
        <w:t xml:space="preserve"> The third guidepost looks to “civil penalties authorized or imposed in comparable cases.” </w:t>
      </w:r>
      <w:r w:rsidRPr="00C43543">
        <w:rPr>
          <w:i/>
          <w:iCs/>
          <w:szCs w:val="28"/>
          <w14:ligatures w14:val="standardContextual"/>
        </w:rPr>
        <w:t>Gore</w:t>
      </w:r>
      <w:r w:rsidRPr="00C43543">
        <w:rPr>
          <w:szCs w:val="28"/>
          <w14:ligatures w14:val="standardContextual"/>
        </w:rPr>
        <w:t>, 517 U.S. at 575</w:t>
      </w:r>
      <w:r w:rsidR="00EA239E" w:rsidRPr="00C43543">
        <w:rPr>
          <w:szCs w:val="28"/>
          <w14:ligatures w14:val="standardContextual"/>
        </w:rPr>
        <w:fldChar w:fldCharType="begin"/>
      </w:r>
      <w:r w:rsidR="00EA239E" w:rsidRPr="00C43543">
        <w:rPr>
          <w:szCs w:val="28"/>
          <w14:ligatures w14:val="standardContextual"/>
        </w:rPr>
        <w:instrText xml:space="preserve"> TA \s "BMW v. Gore, 517 U.S. 559" </w:instrText>
      </w:r>
      <w:r w:rsidR="00EA239E" w:rsidRPr="00C43543">
        <w:rPr>
          <w:szCs w:val="28"/>
          <w14:ligatures w14:val="standardContextual"/>
        </w:rPr>
        <w:fldChar w:fldCharType="end"/>
      </w:r>
      <w:r w:rsidRPr="00C43543">
        <w:rPr>
          <w:szCs w:val="28"/>
          <w14:ligatures w14:val="standardContextual"/>
        </w:rPr>
        <w:t xml:space="preserve">. Because “violations of common law tort duties often do not lend themselves to a comparison with statutory penalties,” this factor “is accorded less weight in the reasonableness analysis.” </w:t>
      </w:r>
      <w:r w:rsidRPr="00C43543">
        <w:rPr>
          <w:i/>
          <w:iCs/>
          <w:szCs w:val="28"/>
          <w14:ligatures w14:val="standardContextual"/>
        </w:rPr>
        <w:t>Ingham</w:t>
      </w:r>
      <w:r w:rsidRPr="00C43543">
        <w:rPr>
          <w:szCs w:val="28"/>
          <w14:ligatures w14:val="standardContextual"/>
        </w:rPr>
        <w:t>, 608 S.W.3d at 723-24</w:t>
      </w:r>
      <w:r w:rsidR="00EA239E" w:rsidRPr="00C43543">
        <w:rPr>
          <w:szCs w:val="28"/>
          <w14:ligatures w14:val="standardContextual"/>
        </w:rPr>
        <w:fldChar w:fldCharType="begin"/>
      </w:r>
      <w:r w:rsidR="00EA239E" w:rsidRPr="00C43543">
        <w:rPr>
          <w:szCs w:val="28"/>
          <w14:ligatures w14:val="standardContextual"/>
        </w:rPr>
        <w:instrText xml:space="preserve"> TA \s "Ingham v. J&amp;J, 608 S.W.3d 663" </w:instrText>
      </w:r>
      <w:r w:rsidR="00EA239E" w:rsidRPr="00C43543">
        <w:rPr>
          <w:szCs w:val="28"/>
          <w14:ligatures w14:val="standardContextual"/>
        </w:rPr>
        <w:fldChar w:fldCharType="end"/>
      </w:r>
      <w:r w:rsidRPr="00C43543">
        <w:rPr>
          <w:szCs w:val="28"/>
          <w14:ligatures w14:val="standardContextual"/>
        </w:rPr>
        <w:t xml:space="preserve">. But it is still relevant because it allows courts to “compare damages awarded in similar civil cases.” </w:t>
      </w:r>
      <w:proofErr w:type="spellStart"/>
      <w:r w:rsidRPr="00C43543">
        <w:rPr>
          <w:i/>
          <w:iCs/>
          <w:szCs w:val="28"/>
          <w14:ligatures w14:val="standardContextual"/>
        </w:rPr>
        <w:t>Ondrisek</w:t>
      </w:r>
      <w:proofErr w:type="spellEnd"/>
      <w:r w:rsidRPr="00C43543">
        <w:rPr>
          <w:i/>
          <w:iCs/>
          <w:szCs w:val="28"/>
          <w14:ligatures w14:val="standardContextual"/>
        </w:rPr>
        <w:t xml:space="preserve"> v. Hoffman</w:t>
      </w:r>
      <w:r w:rsidRPr="00C43543">
        <w:rPr>
          <w:szCs w:val="28"/>
          <w14:ligatures w14:val="standardContextual"/>
        </w:rPr>
        <w:t>, 698 F.3d 1020, 1030 (8th Cir. 2012)</w:t>
      </w:r>
      <w:r w:rsidR="00EA239E" w:rsidRPr="00C43543">
        <w:rPr>
          <w:szCs w:val="28"/>
          <w14:ligatures w14:val="standardContextual"/>
        </w:rPr>
        <w:fldChar w:fldCharType="begin"/>
      </w:r>
      <w:r w:rsidR="00EA239E" w:rsidRPr="00C43543">
        <w:rPr>
          <w:szCs w:val="28"/>
          <w14:ligatures w14:val="standardContextual"/>
        </w:rPr>
        <w:instrText xml:space="preserve"> TA \l "</w:instrText>
      </w:r>
      <w:r w:rsidR="00EA239E" w:rsidRPr="00C43543">
        <w:rPr>
          <w:i/>
          <w:iCs/>
          <w:szCs w:val="28"/>
          <w14:ligatures w14:val="standardContextual"/>
        </w:rPr>
        <w:instrText>Ondrisek v. Hoffman</w:instrText>
      </w:r>
      <w:r w:rsidR="00EA239E" w:rsidRPr="00C43543">
        <w:rPr>
          <w:szCs w:val="28"/>
          <w14:ligatures w14:val="standardContextual"/>
        </w:rPr>
        <w:instrText>,</w:instrText>
      </w:r>
      <w:r w:rsidR="00EA239E" w:rsidRPr="00C43543">
        <w:rPr>
          <w:szCs w:val="28"/>
          <w14:ligatures w14:val="standardContextual"/>
        </w:rPr>
        <w:br/>
        <w:instrText xml:space="preserve">698 F.3d 1020 (8th Cir. 2012)" \s "Ondrisek v. Hoffman, 698 F.3d 1020" \c 1 </w:instrText>
      </w:r>
      <w:r w:rsidR="00EA239E" w:rsidRPr="00C43543">
        <w:rPr>
          <w:szCs w:val="28"/>
          <w14:ligatures w14:val="standardContextual"/>
        </w:rPr>
        <w:fldChar w:fldCharType="end"/>
      </w:r>
      <w:r w:rsidRPr="00C43543">
        <w:rPr>
          <w:szCs w:val="28"/>
          <w14:ligatures w14:val="standardContextual"/>
        </w:rPr>
        <w:t xml:space="preserve">. </w:t>
      </w:r>
    </w:p>
    <w:p w14:paraId="776D5F70" w14:textId="52D23407" w:rsidR="00CF0162" w:rsidRPr="00C43543" w:rsidRDefault="00CF0162" w:rsidP="00CF0162">
      <w:pPr>
        <w:pStyle w:val="BodyText"/>
        <w:rPr>
          <w:szCs w:val="28"/>
          <w14:ligatures w14:val="standardContextual"/>
        </w:rPr>
      </w:pPr>
      <w:r w:rsidRPr="00C43543">
        <w:rPr>
          <w:szCs w:val="28"/>
          <w14:ligatures w14:val="standardContextual"/>
        </w:rPr>
        <w:t xml:space="preserve">Here, the most analogous Missouri case is </w:t>
      </w:r>
      <w:r w:rsidRPr="00C43543">
        <w:rPr>
          <w:i/>
          <w:iCs/>
          <w:szCs w:val="28"/>
          <w14:ligatures w14:val="standardContextual"/>
        </w:rPr>
        <w:t>Ingham</w:t>
      </w:r>
      <w:r w:rsidRPr="00C43543">
        <w:rPr>
          <w:szCs w:val="28"/>
          <w14:ligatures w14:val="standardContextual"/>
        </w:rPr>
        <w:t>. In that case—a products-liability case involving conduct that occurred around the same time as the conduct here—Missouri courts sustained a $716 million punitive-damages award against Johnson &amp; Johnson. 608 S.W.</w:t>
      </w:r>
      <w:r w:rsidR="00D14F95" w:rsidRPr="00C43543">
        <w:rPr>
          <w:szCs w:val="28"/>
          <w14:ligatures w14:val="standardContextual"/>
        </w:rPr>
        <w:t>3d</w:t>
      </w:r>
      <w:r w:rsidRPr="00C43543">
        <w:rPr>
          <w:szCs w:val="28"/>
          <w14:ligatures w14:val="standardContextual"/>
        </w:rPr>
        <w:t xml:space="preserve"> at 722-24</w:t>
      </w:r>
      <w:r w:rsidR="00EA239E" w:rsidRPr="00C43543">
        <w:rPr>
          <w:szCs w:val="28"/>
          <w14:ligatures w14:val="standardContextual"/>
        </w:rPr>
        <w:fldChar w:fldCharType="begin"/>
      </w:r>
      <w:r w:rsidR="00EA239E" w:rsidRPr="00C43543">
        <w:rPr>
          <w:szCs w:val="28"/>
          <w14:ligatures w14:val="standardContextual"/>
        </w:rPr>
        <w:instrText xml:space="preserve"> TA \s "Ingham v. J&amp;J, 608 S.W.3d 663" </w:instrText>
      </w:r>
      <w:r w:rsidR="00EA239E" w:rsidRPr="00C43543">
        <w:rPr>
          <w:szCs w:val="28"/>
          <w14:ligatures w14:val="standardContextual"/>
        </w:rPr>
        <w:fldChar w:fldCharType="end"/>
      </w:r>
      <w:r w:rsidRPr="00C43543">
        <w:rPr>
          <w:szCs w:val="28"/>
          <w14:ligatures w14:val="standardContextual"/>
        </w:rPr>
        <w:t xml:space="preserve">, </w:t>
      </w:r>
      <w:r w:rsidRPr="00C43543">
        <w:rPr>
          <w:i/>
          <w:iCs/>
          <w:szCs w:val="28"/>
          <w14:ligatures w14:val="standardContextual"/>
        </w:rPr>
        <w:t>cert. denied</w:t>
      </w:r>
      <w:r w:rsidRPr="00C43543">
        <w:rPr>
          <w:szCs w:val="28"/>
          <w14:ligatures w14:val="standardContextual"/>
        </w:rPr>
        <w:t xml:space="preserve">, 141 S. Ct. 2716 (2021). They did so even though the plaintiffs had received “$125 million in actual damages”—$25 million per plaintiff. </w:t>
      </w:r>
      <w:r w:rsidRPr="00C43543">
        <w:rPr>
          <w:i/>
          <w:iCs/>
          <w:szCs w:val="28"/>
          <w14:ligatures w14:val="standardContextual"/>
        </w:rPr>
        <w:t>Id.</w:t>
      </w:r>
      <w:r w:rsidRPr="00C43543">
        <w:rPr>
          <w:szCs w:val="28"/>
          <w14:ligatures w14:val="standardContextual"/>
        </w:rPr>
        <w:t xml:space="preserve"> at 722</w:t>
      </w:r>
      <w:r w:rsidR="00EA239E" w:rsidRPr="00C43543">
        <w:rPr>
          <w:szCs w:val="28"/>
          <w14:ligatures w14:val="standardContextual"/>
        </w:rPr>
        <w:fldChar w:fldCharType="begin"/>
      </w:r>
      <w:r w:rsidR="00EA239E" w:rsidRPr="00C43543">
        <w:rPr>
          <w:szCs w:val="28"/>
          <w14:ligatures w14:val="standardContextual"/>
        </w:rPr>
        <w:instrText xml:space="preserve"> TA \s "Ingham v. J&amp;J, 608 S.W.3d 663" </w:instrText>
      </w:r>
      <w:r w:rsidR="00EA239E" w:rsidRPr="00C43543">
        <w:rPr>
          <w:szCs w:val="28"/>
          <w14:ligatures w14:val="standardContextual"/>
        </w:rPr>
        <w:fldChar w:fldCharType="end"/>
      </w:r>
      <w:r w:rsidRPr="00C43543">
        <w:rPr>
          <w:szCs w:val="28"/>
          <w14:ligatures w14:val="standardContextual"/>
        </w:rPr>
        <w:t xml:space="preserve">. The U.S. Supreme Court then allowed the awards to take effect. </w:t>
      </w:r>
    </w:p>
    <w:p w14:paraId="5B08B8BC" w14:textId="05D1BB3C" w:rsidR="00CF0162" w:rsidRPr="00C43543" w:rsidRDefault="00CF0162" w:rsidP="009678B5">
      <w:pPr>
        <w:pStyle w:val="BodyText"/>
        <w:rPr>
          <w:szCs w:val="28"/>
          <w14:ligatures w14:val="standardContextual"/>
        </w:rPr>
      </w:pPr>
      <w:r w:rsidRPr="00C43543">
        <w:rPr>
          <w:i/>
          <w:iCs/>
          <w:szCs w:val="28"/>
          <w14:ligatures w14:val="standardContextual"/>
        </w:rPr>
        <w:lastRenderedPageBreak/>
        <w:t>Ingham</w:t>
      </w:r>
      <w:r w:rsidRPr="00C43543">
        <w:rPr>
          <w:szCs w:val="28"/>
          <w14:ligatures w14:val="standardContextual"/>
        </w:rPr>
        <w:t xml:space="preserve"> only confirms what the other guideposts make clear: The jury here did not run afoul of due process in assessing punitive damages to punish and deter decades of egregious misconduct.</w:t>
      </w:r>
    </w:p>
    <w:p w14:paraId="11BC2BAE" w14:textId="455FDF66" w:rsidR="003A6090" w:rsidRPr="00C43543" w:rsidRDefault="00786DCE" w:rsidP="00EA239E">
      <w:pPr>
        <w:pStyle w:val="Heading1"/>
        <w:rPr>
          <w:rFonts w:ascii="Adobe Garamond Pro" w:hAnsi="Adobe Garamond Pro"/>
          <w14:ligatures w14:val="standardContextual"/>
        </w:rPr>
      </w:pPr>
      <w:bookmarkStart w:id="86" w:name="_Toc109728369"/>
      <w:r w:rsidRPr="00C43543">
        <w:rPr>
          <w:rFonts w:ascii="Adobe Garamond Pro" w:hAnsi="Adobe Garamond Pro"/>
          <w14:ligatures w14:val="standardContextual"/>
        </w:rPr>
        <w:t>C</w:t>
      </w:r>
      <w:r w:rsidR="00203F6C" w:rsidRPr="00C43543">
        <w:rPr>
          <w:rFonts w:ascii="Adobe Garamond Pro" w:hAnsi="Adobe Garamond Pro"/>
          <w14:ligatures w14:val="standardContextual"/>
        </w:rPr>
        <w:t>ONCLUSION</w:t>
      </w:r>
      <w:bookmarkEnd w:id="82"/>
      <w:bookmarkEnd w:id="86"/>
    </w:p>
    <w:p w14:paraId="781479BC" w14:textId="55596825" w:rsidR="00786DCE" w:rsidRPr="00C43543" w:rsidRDefault="005C1460" w:rsidP="00CF0162">
      <w:pPr>
        <w:pStyle w:val="BodyText"/>
        <w:rPr>
          <w:szCs w:val="28"/>
          <w14:ligatures w14:val="standardContextual"/>
        </w:rPr>
      </w:pPr>
      <w:r w:rsidRPr="00C43543">
        <w:rPr>
          <w:szCs w:val="28"/>
          <w14:ligatures w14:val="standardContextual"/>
        </w:rPr>
        <w:t>The judgment of the superior court should be affirmed.</w:t>
      </w:r>
    </w:p>
    <w:p w14:paraId="29E093BA" w14:textId="15F05AB4" w:rsidR="00053253" w:rsidRPr="00C43543" w:rsidRDefault="00D948CE" w:rsidP="009678B5">
      <w:pPr>
        <w:pStyle w:val="BodyText"/>
        <w:spacing w:after="120"/>
        <w:rPr>
          <w:szCs w:val="28"/>
          <w14:ligatures w14:val="standardContextual"/>
        </w:rPr>
      </w:pPr>
      <w:r w:rsidRPr="00C43543">
        <w:rPr>
          <w:szCs w:val="28"/>
          <w14:ligatures w14:val="standardContextual"/>
        </w:rPr>
        <w:t xml:space="preserve">I certify </w:t>
      </w:r>
      <w:r w:rsidR="0096044A" w:rsidRPr="00C43543">
        <w:rPr>
          <w:szCs w:val="28"/>
          <w14:ligatures w14:val="standardContextual"/>
        </w:rPr>
        <w:t>under</w:t>
      </w:r>
      <w:r w:rsidRPr="00C43543">
        <w:rPr>
          <w:szCs w:val="28"/>
          <w14:ligatures w14:val="standardContextual"/>
        </w:rPr>
        <w:t xml:space="preserve"> RAP 18.17 that this </w:t>
      </w:r>
      <w:r w:rsidR="00053253" w:rsidRPr="00C43543">
        <w:rPr>
          <w:szCs w:val="28"/>
          <w14:ligatures w14:val="standardContextual"/>
        </w:rPr>
        <w:t>brief</w:t>
      </w:r>
      <w:r w:rsidRPr="00C43543">
        <w:rPr>
          <w:szCs w:val="28"/>
          <w14:ligatures w14:val="standardContextual"/>
        </w:rPr>
        <w:t xml:space="preserve"> contains no more than</w:t>
      </w:r>
      <w:r w:rsidR="00053253" w:rsidRPr="00C43543">
        <w:rPr>
          <w:szCs w:val="28"/>
          <w14:ligatures w14:val="standardContextual"/>
        </w:rPr>
        <w:t xml:space="preserve"> </w:t>
      </w:r>
      <w:r w:rsidR="00310865">
        <w:rPr>
          <w:szCs w:val="28"/>
          <w14:ligatures w14:val="standardContextual"/>
        </w:rPr>
        <w:t xml:space="preserve">32,901 </w:t>
      </w:r>
      <w:r w:rsidRPr="00C43543">
        <w:rPr>
          <w:szCs w:val="28"/>
          <w14:ligatures w14:val="standardContextual"/>
        </w:rPr>
        <w:t xml:space="preserve">words, excluding the parts of the document exempted from the word count by RAP 18.17(c). </w:t>
      </w:r>
    </w:p>
    <w:p w14:paraId="54187115" w14:textId="0CF8114A" w:rsidR="00976748" w:rsidRPr="00E405C4" w:rsidRDefault="00EF286A" w:rsidP="005C1460">
      <w:pPr>
        <w:spacing w:line="560" w:lineRule="exact"/>
        <w:ind w:left="3600"/>
        <w:rPr>
          <w:rFonts w:cs="Baskerville"/>
          <w:szCs w:val="28"/>
          <w14:ligatures w14:val="standardContextual"/>
        </w:rPr>
      </w:pPr>
      <w:r w:rsidRPr="00E405C4">
        <w:rPr>
          <w:rFonts w:cs="Baskerville"/>
          <w:szCs w:val="28"/>
          <w14:ligatures w14:val="standardContextual"/>
        </w:rPr>
        <w:t>Respectfully submitted,</w:t>
      </w:r>
    </w:p>
    <w:p w14:paraId="23BBF783" w14:textId="77777777" w:rsidR="0096044A" w:rsidRPr="00E405C4" w:rsidRDefault="0096044A" w:rsidP="0096044A">
      <w:pPr>
        <w:ind w:left="3600"/>
        <w:rPr>
          <w:rFonts w:cs="Baskerville"/>
          <w:szCs w:val="28"/>
          <w14:ligatures w14:val="standardContextual"/>
        </w:rPr>
      </w:pPr>
    </w:p>
    <w:p w14:paraId="5FC6B3FC" w14:textId="19473772" w:rsidR="003B1809" w:rsidRPr="00E405C4" w:rsidRDefault="003B1809" w:rsidP="00255FBB">
      <w:pPr>
        <w:ind w:left="3600"/>
        <w:rPr>
          <w:rFonts w:eastAsia="Times New Roman"/>
          <w:i/>
          <w:color w:val="222222"/>
          <w:szCs w:val="28"/>
          <w:u w:val="single"/>
          <w14:ligatures w14:val="standardContextual"/>
        </w:rPr>
      </w:pPr>
      <w:r w:rsidRPr="00E405C4">
        <w:rPr>
          <w:rFonts w:eastAsia="Times New Roman"/>
          <w:i/>
          <w:color w:val="222222"/>
          <w:szCs w:val="28"/>
          <w:u w:val="single"/>
          <w14:ligatures w14:val="standardContextual"/>
        </w:rPr>
        <w:t xml:space="preserve">/s/ </w:t>
      </w:r>
      <w:r w:rsidR="00255FBB" w:rsidRPr="00E405C4">
        <w:rPr>
          <w:rFonts w:eastAsia="Times New Roman"/>
          <w:i/>
          <w:color w:val="222222"/>
          <w:szCs w:val="28"/>
          <w:u w:val="single"/>
          <w14:ligatures w14:val="standardContextual"/>
        </w:rPr>
        <w:t>Deepak Gupta</w:t>
      </w:r>
    </w:p>
    <w:p w14:paraId="508BDBB9" w14:textId="0C13FF27" w:rsidR="00255FBB" w:rsidRPr="00E405C4" w:rsidRDefault="00255FBB" w:rsidP="00255FBB">
      <w:pPr>
        <w:suppressAutoHyphens/>
        <w:ind w:left="3600"/>
        <w:rPr>
          <w:rFonts w:cs="Baskerville"/>
          <w:i/>
          <w:iCs/>
          <w:szCs w:val="28"/>
          <w14:ligatures w14:val="standardContextual"/>
        </w:rPr>
      </w:pPr>
      <w:r w:rsidRPr="00E405C4">
        <w:rPr>
          <w:rFonts w:cs="Baskerville"/>
          <w:smallCaps/>
          <w:szCs w:val="28"/>
          <w14:ligatures w14:val="standardContextual"/>
        </w:rPr>
        <w:t>Deepak Gupta</w:t>
      </w:r>
      <w:r w:rsidR="00786DCE" w:rsidRPr="00E405C4">
        <w:rPr>
          <w:rFonts w:cs="Baskerville"/>
          <w:smallCaps/>
          <w:szCs w:val="28"/>
          <w14:ligatures w14:val="standardContextual"/>
        </w:rPr>
        <w:t>*</w:t>
      </w:r>
      <w:r w:rsidRPr="00E405C4">
        <w:rPr>
          <w:rFonts w:cs="Baskerville"/>
          <w:smallCaps/>
          <w:szCs w:val="28"/>
          <w14:ligatures w14:val="standardContextual"/>
        </w:rPr>
        <w:t xml:space="preserve"> </w:t>
      </w:r>
    </w:p>
    <w:p w14:paraId="207915C3" w14:textId="7630226D"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Jonathan E. Taylor</w:t>
      </w:r>
      <w:r w:rsidR="00786DCE" w:rsidRPr="00E405C4">
        <w:rPr>
          <w:rFonts w:cs="Baskerville"/>
          <w:smallCaps/>
          <w:szCs w:val="28"/>
          <w14:ligatures w14:val="standardContextual"/>
        </w:rPr>
        <w:t>*</w:t>
      </w:r>
      <w:r w:rsidRPr="00E405C4">
        <w:rPr>
          <w:rFonts w:cs="Baskerville"/>
          <w:smallCaps/>
          <w:szCs w:val="28"/>
          <w14:ligatures w14:val="standardContextual"/>
        </w:rPr>
        <w:t xml:space="preserve"> </w:t>
      </w:r>
    </w:p>
    <w:p w14:paraId="60448D3D" w14:textId="035E9153"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Gregory A. Beck</w:t>
      </w:r>
      <w:r w:rsidR="00786DCE" w:rsidRPr="00E405C4">
        <w:rPr>
          <w:rFonts w:cs="Baskerville"/>
          <w:smallCaps/>
          <w:szCs w:val="28"/>
          <w14:ligatures w14:val="standardContextual"/>
        </w:rPr>
        <w:t>*</w:t>
      </w:r>
    </w:p>
    <w:p w14:paraId="40EB4E3A" w14:textId="2D8E0637"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Robert D. Friedman</w:t>
      </w:r>
      <w:r w:rsidR="00786DCE" w:rsidRPr="00E405C4">
        <w:rPr>
          <w:rFonts w:cs="Baskerville"/>
          <w:smallCaps/>
          <w:szCs w:val="28"/>
          <w14:ligatures w14:val="standardContextual"/>
        </w:rPr>
        <w:t>*</w:t>
      </w:r>
      <w:r w:rsidRPr="00E405C4">
        <w:rPr>
          <w:rFonts w:cs="Baskerville"/>
          <w:i/>
          <w:iCs/>
          <w:szCs w:val="28"/>
          <w14:ligatures w14:val="standardContextual"/>
        </w:rPr>
        <w:t xml:space="preserve"> </w:t>
      </w:r>
    </w:p>
    <w:p w14:paraId="1E24E495" w14:textId="77777777" w:rsidR="00255FBB" w:rsidRPr="00E405C4" w:rsidRDefault="00255FBB" w:rsidP="00255FBB">
      <w:pPr>
        <w:suppressAutoHyphens/>
        <w:ind w:left="3600"/>
        <w:rPr>
          <w:rFonts w:cs="Baskerville"/>
          <w:caps/>
          <w:szCs w:val="28"/>
          <w14:ligatures w14:val="standardContextual"/>
        </w:rPr>
      </w:pPr>
      <w:r w:rsidRPr="00E405C4">
        <w:rPr>
          <w:rFonts w:cs="Baskerville"/>
          <w:caps/>
          <w:szCs w:val="28"/>
          <w14:ligatures w14:val="standardContextual"/>
        </w:rPr>
        <w:t>Gupta Wessler PLLC</w:t>
      </w:r>
    </w:p>
    <w:p w14:paraId="31266D75" w14:textId="41280C4C" w:rsidR="00255FBB" w:rsidRPr="00E405C4" w:rsidRDefault="00255FBB" w:rsidP="00E91444">
      <w:pPr>
        <w:suppressAutoHyphens/>
        <w:ind w:left="3600"/>
        <w:rPr>
          <w:rFonts w:cs="Baskerville"/>
          <w:szCs w:val="28"/>
          <w14:ligatures w14:val="standardContextual"/>
        </w:rPr>
      </w:pPr>
      <w:r w:rsidRPr="00E405C4">
        <w:rPr>
          <w:rFonts w:cs="Baskerville"/>
          <w:szCs w:val="28"/>
          <w14:ligatures w14:val="standardContextual"/>
        </w:rPr>
        <w:t>2001 K Street, NW</w:t>
      </w:r>
      <w:r w:rsidR="00E91444" w:rsidRPr="00E405C4">
        <w:rPr>
          <w:rFonts w:cs="Baskerville"/>
          <w:szCs w:val="28"/>
          <w14:ligatures w14:val="standardContextual"/>
        </w:rPr>
        <w:t xml:space="preserve">, </w:t>
      </w:r>
      <w:r w:rsidRPr="00E405C4">
        <w:rPr>
          <w:rFonts w:cs="Baskerville"/>
          <w:szCs w:val="28"/>
          <w14:ligatures w14:val="standardContextual"/>
        </w:rPr>
        <w:t>Suite 850</w:t>
      </w:r>
    </w:p>
    <w:p w14:paraId="2A420217"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Washington, DC 20006</w:t>
      </w:r>
    </w:p>
    <w:p w14:paraId="4156E500"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(202) 888-1741</w:t>
      </w:r>
    </w:p>
    <w:p w14:paraId="3D9C1721" w14:textId="77777777" w:rsidR="00255FBB" w:rsidRPr="00E405C4" w:rsidRDefault="00255FBB" w:rsidP="00255FBB">
      <w:pPr>
        <w:suppressAutoHyphens/>
        <w:ind w:left="3600"/>
        <w:rPr>
          <w:rFonts w:cs="Baskerville"/>
          <w:i/>
          <w:iCs/>
          <w:szCs w:val="28"/>
          <w14:ligatures w14:val="standardContextual"/>
        </w:rPr>
      </w:pPr>
      <w:r w:rsidRPr="00E405C4">
        <w:rPr>
          <w:rFonts w:cs="Baskerville"/>
          <w:i/>
          <w:iCs/>
          <w:szCs w:val="28"/>
          <w14:ligatures w14:val="standardContextual"/>
        </w:rPr>
        <w:t>deepak@guptawessler.com</w:t>
      </w:r>
    </w:p>
    <w:p w14:paraId="28301692" w14:textId="77777777" w:rsidR="00255FBB" w:rsidRPr="00E405C4" w:rsidRDefault="00255FBB" w:rsidP="00255FBB">
      <w:pPr>
        <w:suppressAutoHyphens/>
        <w:ind w:left="3600"/>
        <w:rPr>
          <w:rFonts w:cs="Baskerville"/>
          <w:i/>
          <w:iCs/>
          <w:szCs w:val="28"/>
          <w14:ligatures w14:val="standardContextual"/>
        </w:rPr>
      </w:pPr>
    </w:p>
    <w:p w14:paraId="57DEA0C0" w14:textId="27341462" w:rsidR="00255FBB" w:rsidRPr="00E405C4" w:rsidRDefault="00255FBB" w:rsidP="00255FBB">
      <w:pPr>
        <w:suppressAutoHyphens/>
        <w:ind w:left="3600"/>
        <w:rPr>
          <w:rFonts w:cs="Baskerville"/>
          <w:i/>
          <w:iCs/>
          <w:szCs w:val="28"/>
          <w14:ligatures w14:val="standardContextual"/>
        </w:rPr>
      </w:pPr>
      <w:r w:rsidRPr="00E405C4">
        <w:rPr>
          <w:rFonts w:cs="Baskerville"/>
          <w:smallCaps/>
          <w:szCs w:val="28"/>
          <w14:ligatures w14:val="standardContextual"/>
        </w:rPr>
        <w:t>Neil K. Sawhney</w:t>
      </w:r>
      <w:r w:rsidR="00786DCE" w:rsidRPr="00E405C4">
        <w:rPr>
          <w:rFonts w:cs="Baskerville"/>
          <w:smallCaps/>
          <w:szCs w:val="28"/>
          <w14:ligatures w14:val="standardContextual"/>
        </w:rPr>
        <w:t>*</w:t>
      </w:r>
    </w:p>
    <w:p w14:paraId="12C9CB0E" w14:textId="77777777" w:rsidR="00255FBB" w:rsidRPr="00E405C4" w:rsidRDefault="00255FBB" w:rsidP="00255FBB">
      <w:pPr>
        <w:suppressAutoHyphens/>
        <w:ind w:left="3600"/>
        <w:rPr>
          <w:rFonts w:cs="Baskerville"/>
          <w:caps/>
          <w:szCs w:val="28"/>
          <w14:ligatures w14:val="standardContextual"/>
        </w:rPr>
      </w:pPr>
      <w:r w:rsidRPr="00E405C4">
        <w:rPr>
          <w:rFonts w:cs="Baskerville"/>
          <w:caps/>
          <w:szCs w:val="28"/>
          <w14:ligatures w14:val="standardContextual"/>
        </w:rPr>
        <w:t>Gupta Wessler PLLC</w:t>
      </w:r>
    </w:p>
    <w:p w14:paraId="627FA1BD"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100 Pine Street, Suite 1250</w:t>
      </w:r>
    </w:p>
    <w:p w14:paraId="556CBEB4"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San Francisco, CA 94111</w:t>
      </w:r>
    </w:p>
    <w:p w14:paraId="1BAF476A" w14:textId="25AFBB64" w:rsidR="00255FBB" w:rsidRPr="00E405C4" w:rsidRDefault="00255FBB" w:rsidP="00255FBB">
      <w:pPr>
        <w:ind w:left="3600"/>
        <w:rPr>
          <w:rFonts w:cs="Baskerville"/>
          <w:szCs w:val="28"/>
          <w14:ligatures w14:val="standardContextual"/>
        </w:rPr>
      </w:pPr>
      <w:r w:rsidRPr="00E405C4">
        <w:rPr>
          <w:rFonts w:cs="Baskerville"/>
          <w:szCs w:val="28"/>
          <w14:ligatures w14:val="standardContextual"/>
        </w:rPr>
        <w:t>(202) 888-1741</w:t>
      </w:r>
    </w:p>
    <w:p w14:paraId="169C5030" w14:textId="7D18C854"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lastRenderedPageBreak/>
        <w:t xml:space="preserve">Richard H. Friedman </w:t>
      </w:r>
      <w:r w:rsidR="005C1460" w:rsidRPr="00E405C4">
        <w:rPr>
          <w:rFonts w:cs="Baskerville"/>
          <w:smallCaps/>
          <w:szCs w:val="28"/>
          <w14:ligatures w14:val="standardContextual"/>
        </w:rPr>
        <w:br/>
      </w:r>
      <w:r w:rsidRPr="00E405C4">
        <w:rPr>
          <w:rFonts w:cs="Baskerville"/>
          <w:szCs w:val="28"/>
          <w14:ligatures w14:val="standardContextual"/>
        </w:rPr>
        <w:t>(SB 300130)</w:t>
      </w:r>
    </w:p>
    <w:p w14:paraId="05BD0C38" w14:textId="77777777"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Sean J. Gamble (</w:t>
      </w:r>
      <w:r w:rsidRPr="00E405C4">
        <w:rPr>
          <w:rFonts w:cs="Baskerville"/>
          <w:szCs w:val="28"/>
          <w14:ligatures w14:val="standardContextual"/>
        </w:rPr>
        <w:t>SB 41733)</w:t>
      </w:r>
    </w:p>
    <w:p w14:paraId="408A7E76" w14:textId="77777777"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James A. Hertz (SB</w:t>
      </w:r>
      <w:r w:rsidRPr="00E405C4">
        <w:rPr>
          <w:rFonts w:cs="Baskerville"/>
          <w:szCs w:val="28"/>
          <w14:ligatures w14:val="standardContextual"/>
        </w:rPr>
        <w:t xml:space="preserve"> 35222)</w:t>
      </w:r>
    </w:p>
    <w:p w14:paraId="1C223E99" w14:textId="77777777"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 xml:space="preserve">Henry G. Jones </w:t>
      </w:r>
      <w:r w:rsidRPr="00E405C4">
        <w:rPr>
          <w:rFonts w:cs="Baskerville"/>
          <w:szCs w:val="28"/>
          <w14:ligatures w14:val="standardContextual"/>
        </w:rPr>
        <w:t>(SB 45684)</w:t>
      </w:r>
    </w:p>
    <w:p w14:paraId="68C8433B" w14:textId="77777777" w:rsidR="00255FBB" w:rsidRPr="00E405C4" w:rsidRDefault="00255FBB" w:rsidP="00255FBB">
      <w:pPr>
        <w:suppressAutoHyphens/>
        <w:ind w:left="3600"/>
        <w:rPr>
          <w:rFonts w:cs="Baskerville"/>
          <w:smallCaps/>
          <w:szCs w:val="28"/>
          <w14:ligatures w14:val="standardContextual"/>
        </w:rPr>
      </w:pPr>
      <w:r w:rsidRPr="00E405C4">
        <w:rPr>
          <w:rFonts w:cs="Baskerville"/>
          <w:smallCaps/>
          <w:szCs w:val="28"/>
          <w14:ligatures w14:val="standardContextual"/>
        </w:rPr>
        <w:t xml:space="preserve">Ronald J. Park </w:t>
      </w:r>
      <w:r w:rsidRPr="00E405C4">
        <w:rPr>
          <w:rFonts w:cs="Baskerville"/>
          <w:szCs w:val="28"/>
          <w14:ligatures w14:val="standardContextual"/>
        </w:rPr>
        <w:t>(SB 54372)</w:t>
      </w:r>
    </w:p>
    <w:p w14:paraId="65C80B7E" w14:textId="77777777" w:rsidR="00255FBB" w:rsidRPr="00E405C4" w:rsidRDefault="00255FBB" w:rsidP="00255FBB">
      <w:pPr>
        <w:suppressAutoHyphens/>
        <w:ind w:left="3600"/>
        <w:rPr>
          <w:rFonts w:cs="Baskerville"/>
          <w:caps/>
          <w:szCs w:val="28"/>
          <w14:ligatures w14:val="standardContextual"/>
        </w:rPr>
      </w:pPr>
      <w:r w:rsidRPr="00E405C4">
        <w:rPr>
          <w:rFonts w:cs="Baskerville"/>
          <w:caps/>
          <w:szCs w:val="28"/>
          <w14:ligatures w14:val="standardContextual"/>
        </w:rPr>
        <w:t>Friedman Rubin PLLP</w:t>
      </w:r>
    </w:p>
    <w:p w14:paraId="466DD18A"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1109 First Avenue, Suite 501</w:t>
      </w:r>
    </w:p>
    <w:p w14:paraId="7E0C8321"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Seattle, WA 98101</w:t>
      </w:r>
    </w:p>
    <w:p w14:paraId="410F8DB0" w14:textId="77777777" w:rsidR="00255FBB" w:rsidRPr="00E405C4" w:rsidRDefault="00255FBB" w:rsidP="00255FBB">
      <w:pPr>
        <w:suppressAutoHyphens/>
        <w:ind w:left="3600"/>
        <w:rPr>
          <w:rFonts w:cs="Baskerville"/>
          <w:szCs w:val="28"/>
          <w14:ligatures w14:val="standardContextual"/>
        </w:rPr>
      </w:pPr>
      <w:r w:rsidRPr="00E405C4">
        <w:rPr>
          <w:rFonts w:cs="Baskerville"/>
          <w:szCs w:val="28"/>
          <w14:ligatures w14:val="standardContextual"/>
        </w:rPr>
        <w:t>(206) 501-4446</w:t>
      </w:r>
    </w:p>
    <w:p w14:paraId="5A0B45B2" w14:textId="5235679D" w:rsidR="00255FBB" w:rsidRPr="00E405C4" w:rsidRDefault="00255FBB" w:rsidP="00255FBB">
      <w:pPr>
        <w:suppressAutoHyphens/>
        <w:ind w:left="3600"/>
        <w:rPr>
          <w:rFonts w:cs="Baskerville"/>
          <w:i/>
          <w:iCs/>
          <w:szCs w:val="28"/>
          <w14:ligatures w14:val="standardContextual"/>
        </w:rPr>
      </w:pPr>
      <w:r w:rsidRPr="00E405C4">
        <w:rPr>
          <w:rFonts w:cs="Baskerville"/>
          <w:i/>
          <w:iCs/>
          <w:szCs w:val="28"/>
          <w14:ligatures w14:val="standardContextual"/>
        </w:rPr>
        <w:t>rfriedman@friedmanrubin.com</w:t>
      </w:r>
    </w:p>
    <w:p w14:paraId="65D4D10B" w14:textId="13FEC14E" w:rsidR="00255FBB" w:rsidRPr="00E405C4" w:rsidRDefault="00255FBB" w:rsidP="00255FBB">
      <w:pPr>
        <w:suppressAutoHyphens/>
        <w:ind w:left="3600"/>
        <w:rPr>
          <w:rFonts w:cs="Baskerville"/>
          <w:i/>
          <w:iCs/>
          <w:szCs w:val="28"/>
          <w14:ligatures w14:val="standardContextual"/>
        </w:rPr>
      </w:pPr>
    </w:p>
    <w:p w14:paraId="2F4A8EAD" w14:textId="6BFD3823" w:rsidR="00786DCE" w:rsidRPr="00E405C4" w:rsidRDefault="00786DCE" w:rsidP="00255FBB">
      <w:pPr>
        <w:suppressAutoHyphens/>
        <w:ind w:left="3600"/>
        <w:rPr>
          <w:rFonts w:cs="Baskerville"/>
          <w:i/>
          <w:iCs/>
          <w:szCs w:val="28"/>
          <w14:ligatures w14:val="standardContextual"/>
        </w:rPr>
      </w:pPr>
      <w:r w:rsidRPr="00E405C4">
        <w:rPr>
          <w:rFonts w:cs="Baskerville"/>
          <w:i/>
          <w:iCs/>
          <w:szCs w:val="28"/>
          <w14:ligatures w14:val="standardContextual"/>
        </w:rPr>
        <w:t xml:space="preserve">* </w:t>
      </w:r>
      <w:proofErr w:type="gramStart"/>
      <w:r w:rsidRPr="00E405C4">
        <w:rPr>
          <w:rFonts w:cs="Baskerville"/>
          <w:i/>
          <w:iCs/>
          <w:szCs w:val="28"/>
          <w14:ligatures w14:val="standardContextual"/>
        </w:rPr>
        <w:t>pro</w:t>
      </w:r>
      <w:proofErr w:type="gramEnd"/>
      <w:r w:rsidRPr="00E405C4">
        <w:rPr>
          <w:rFonts w:cs="Baskerville"/>
          <w:i/>
          <w:iCs/>
          <w:szCs w:val="28"/>
          <w14:ligatures w14:val="standardContextual"/>
        </w:rPr>
        <w:t xml:space="preserve"> hac vice</w:t>
      </w:r>
    </w:p>
    <w:p w14:paraId="5103BD8E" w14:textId="794867DF" w:rsidR="006F7E2D" w:rsidRPr="00E405C4" w:rsidRDefault="00E043D0" w:rsidP="00FF0998">
      <w:pPr>
        <w:spacing w:line="560" w:lineRule="exact"/>
        <w:rPr>
          <w:rFonts w:cs="Baskerville"/>
          <w:i/>
          <w:iCs/>
          <w:szCs w:val="28"/>
          <w14:ligatures w14:val="standardContextual"/>
        </w:rPr>
        <w:sectPr w:rsidR="006F7E2D" w:rsidRPr="00E405C4" w:rsidSect="00C35209">
          <w:footerReference w:type="even" r:id="rId11"/>
          <w:footerReference w:type="default" r:id="rId12"/>
          <w:footerReference w:type="first" r:id="rId13"/>
          <w:pgSz w:w="12240" w:h="15840" w:code="1"/>
          <w:pgMar w:top="2160" w:right="2160" w:bottom="2160" w:left="2880" w:header="720" w:footer="720" w:gutter="0"/>
          <w:pgNumType w:fmt="numberInDash" w:start="1"/>
          <w:cols w:space="720"/>
          <w:docGrid w:linePitch="360"/>
        </w:sectPr>
      </w:pPr>
      <w:r w:rsidRPr="00E405C4">
        <w:rPr>
          <w:rFonts w:cs="Baskerville"/>
          <w:szCs w:val="28"/>
          <w14:ligatures w14:val="standardContextual"/>
        </w:rPr>
        <w:t>Ju</w:t>
      </w:r>
      <w:r w:rsidR="00255FBB" w:rsidRPr="00E405C4">
        <w:rPr>
          <w:rFonts w:cs="Baskerville"/>
          <w:szCs w:val="28"/>
          <w14:ligatures w14:val="standardContextual"/>
        </w:rPr>
        <w:t>ly 26</w:t>
      </w:r>
      <w:r w:rsidR="00111BB4" w:rsidRPr="00E405C4">
        <w:rPr>
          <w:rFonts w:cs="Baskerville"/>
          <w:szCs w:val="28"/>
          <w14:ligatures w14:val="standardContextual"/>
        </w:rPr>
        <w:t xml:space="preserve">, </w:t>
      </w:r>
      <w:proofErr w:type="gramStart"/>
      <w:r w:rsidR="00111BB4" w:rsidRPr="00E405C4">
        <w:rPr>
          <w:rFonts w:cs="Baskerville"/>
          <w:szCs w:val="28"/>
          <w14:ligatures w14:val="standardContextual"/>
        </w:rPr>
        <w:t>20</w:t>
      </w:r>
      <w:r w:rsidRPr="00E405C4">
        <w:rPr>
          <w:rFonts w:cs="Baskerville"/>
          <w:szCs w:val="28"/>
          <w14:ligatures w14:val="standardContextual"/>
        </w:rPr>
        <w:t>22</w:t>
      </w:r>
      <w:proofErr w:type="gramEnd"/>
      <w:r w:rsidR="00111BB4" w:rsidRPr="00E405C4">
        <w:rPr>
          <w:rFonts w:cs="Baskerville"/>
          <w:szCs w:val="28"/>
          <w14:ligatures w14:val="standardContextual"/>
        </w:rPr>
        <w:tab/>
      </w:r>
      <w:r w:rsidR="00111BB4" w:rsidRPr="00E405C4">
        <w:rPr>
          <w:rFonts w:cs="Baskerville"/>
          <w:szCs w:val="28"/>
          <w14:ligatures w14:val="standardContextual"/>
        </w:rPr>
        <w:tab/>
      </w:r>
      <w:r w:rsidR="00111BB4" w:rsidRPr="00E405C4">
        <w:rPr>
          <w:rFonts w:cs="Baskerville"/>
          <w:szCs w:val="28"/>
          <w14:ligatures w14:val="standardContextual"/>
        </w:rPr>
        <w:tab/>
      </w:r>
      <w:r w:rsidRPr="00E405C4">
        <w:rPr>
          <w:rFonts w:cs="Baskerville"/>
          <w:szCs w:val="28"/>
          <w14:ligatures w14:val="standardContextual"/>
        </w:rPr>
        <w:tab/>
      </w:r>
      <w:r w:rsidR="00111BB4" w:rsidRPr="00E405C4">
        <w:rPr>
          <w:rFonts w:cs="Baskerville"/>
          <w:i/>
          <w:iCs/>
          <w:szCs w:val="28"/>
          <w14:ligatures w14:val="standardContextual"/>
        </w:rPr>
        <w:t xml:space="preserve">Counsel for </w:t>
      </w:r>
      <w:r w:rsidR="00255FBB" w:rsidRPr="00E405C4">
        <w:rPr>
          <w:rFonts w:cs="Baskerville"/>
          <w:i/>
          <w:iCs/>
          <w:szCs w:val="28"/>
          <w14:ligatures w14:val="standardContextual"/>
        </w:rPr>
        <w:t>Plaintiffs-Responden</w:t>
      </w:r>
      <w:r w:rsidR="005C1460" w:rsidRPr="00E405C4">
        <w:rPr>
          <w:rFonts w:cs="Baskerville"/>
          <w:i/>
          <w:iCs/>
          <w:szCs w:val="28"/>
          <w14:ligatures w14:val="standardContextual"/>
        </w:rPr>
        <w:t>ts</w:t>
      </w:r>
    </w:p>
    <w:p w14:paraId="343D5F92" w14:textId="47D1E141" w:rsidR="00AE1B98" w:rsidRPr="00E405C4" w:rsidRDefault="00EF286A" w:rsidP="00053253">
      <w:pPr>
        <w:shd w:val="clear" w:color="auto" w:fill="FFFFFF"/>
        <w:spacing w:line="560" w:lineRule="exact"/>
        <w:jc w:val="center"/>
        <w:rPr>
          <w:rFonts w:eastAsia="Times New Roman"/>
          <w:color w:val="222222"/>
          <w:szCs w:val="28"/>
          <w14:ligatures w14:val="standardContextual"/>
        </w:rPr>
      </w:pPr>
      <w:r w:rsidRPr="00E405C4">
        <w:rPr>
          <w:rFonts w:cs="Baskerville"/>
          <w:b/>
          <w:bCs/>
          <w:szCs w:val="28"/>
          <w14:ligatures w14:val="standardContextual"/>
        </w:rPr>
        <w:lastRenderedPageBreak/>
        <w:t>CERTIFICATE OF SERVICE</w:t>
      </w:r>
    </w:p>
    <w:p w14:paraId="33EE7E2F" w14:textId="342306FC" w:rsidR="006821B3" w:rsidRPr="00C43543" w:rsidRDefault="006821B3" w:rsidP="003A6090">
      <w:pPr>
        <w:pStyle w:val="BodyText"/>
        <w:rPr>
          <w:szCs w:val="28"/>
          <w14:ligatures w14:val="standardContextual"/>
        </w:rPr>
      </w:pPr>
      <w:r w:rsidRPr="00C43543">
        <w:rPr>
          <w:szCs w:val="28"/>
          <w14:ligatures w14:val="standardContextual"/>
        </w:rPr>
        <w:t xml:space="preserve">I hereby certify that on the date stated below, I caused the foregoing </w:t>
      </w:r>
      <w:r w:rsidR="00786DCE" w:rsidRPr="00C43543">
        <w:rPr>
          <w:szCs w:val="28"/>
          <w14:ligatures w14:val="standardContextual"/>
        </w:rPr>
        <w:t xml:space="preserve">brief </w:t>
      </w:r>
      <w:r w:rsidRPr="00C43543">
        <w:rPr>
          <w:szCs w:val="28"/>
          <w14:ligatures w14:val="standardContextual"/>
        </w:rPr>
        <w:t>to be served via Filing Portal and email to the last known address of all counsel of record.</w:t>
      </w:r>
    </w:p>
    <w:p w14:paraId="35D02D98" w14:textId="055AF1BA" w:rsidR="00167799" w:rsidRPr="00C43543" w:rsidRDefault="006821B3" w:rsidP="0096044A">
      <w:pPr>
        <w:pStyle w:val="BodyText"/>
        <w:rPr>
          <w:szCs w:val="28"/>
          <w14:ligatures w14:val="standardContextual"/>
        </w:rPr>
      </w:pPr>
      <w:r w:rsidRPr="00C43543">
        <w:rPr>
          <w:szCs w:val="28"/>
          <w14:ligatures w14:val="standardContextual"/>
        </w:rPr>
        <w:t>I certify under penalty of perjury under the laws of the state of Washington and the United States that the foregoing is true and correct.</w:t>
      </w:r>
    </w:p>
    <w:p w14:paraId="4EDAFDE4" w14:textId="25223A59" w:rsidR="008868DC" w:rsidRPr="00E405C4" w:rsidRDefault="00976748" w:rsidP="00976748">
      <w:pPr>
        <w:jc w:val="both"/>
        <w:rPr>
          <w:rFonts w:cs="Baskerville"/>
          <w:szCs w:val="28"/>
          <w14:ligatures w14:val="standardContextual"/>
        </w:rPr>
      </w:pPr>
      <w:r w:rsidRPr="00E405C4">
        <w:rPr>
          <w:rFonts w:cs="Baskerville"/>
          <w:szCs w:val="28"/>
          <w14:ligatures w14:val="standardContextual"/>
        </w:rPr>
        <w:t>July 26</w:t>
      </w:r>
      <w:r w:rsidR="006821B3" w:rsidRPr="00E405C4">
        <w:rPr>
          <w:rFonts w:cs="Baskerville"/>
          <w:szCs w:val="28"/>
          <w14:ligatures w14:val="standardContextual"/>
        </w:rPr>
        <w:t>, 2022</w:t>
      </w:r>
      <w:r w:rsidR="006821B3" w:rsidRPr="00E405C4">
        <w:rPr>
          <w:rFonts w:cs="Baskerville"/>
          <w:szCs w:val="28"/>
          <w14:ligatures w14:val="standardContextual"/>
        </w:rPr>
        <w:tab/>
      </w:r>
      <w:r w:rsidR="006821B3" w:rsidRPr="00E405C4">
        <w:rPr>
          <w:rFonts w:cs="Baskerville"/>
          <w:szCs w:val="28"/>
          <w14:ligatures w14:val="standardContextual"/>
        </w:rPr>
        <w:tab/>
      </w:r>
      <w:r w:rsidR="006821B3" w:rsidRPr="00E405C4">
        <w:rPr>
          <w:rFonts w:cs="Baskerville"/>
          <w:szCs w:val="28"/>
          <w14:ligatures w14:val="standardContextual"/>
        </w:rPr>
        <w:tab/>
      </w:r>
      <w:r w:rsidR="006821B3" w:rsidRPr="00E405C4">
        <w:rPr>
          <w:rFonts w:cs="Baskerville"/>
          <w:szCs w:val="28"/>
          <w14:ligatures w14:val="standardContextual"/>
        </w:rPr>
        <w:tab/>
      </w:r>
      <w:r w:rsidR="008868DC" w:rsidRPr="00E405C4">
        <w:rPr>
          <w:rFonts w:eastAsia="Times New Roman"/>
          <w:i/>
          <w:color w:val="222222"/>
          <w:szCs w:val="28"/>
          <w:u w:val="single"/>
          <w14:ligatures w14:val="standardContextual"/>
        </w:rPr>
        <w:t xml:space="preserve">/s/ </w:t>
      </w:r>
      <w:r w:rsidRPr="00E405C4">
        <w:rPr>
          <w:rFonts w:eastAsia="Times New Roman"/>
          <w:i/>
          <w:color w:val="222222"/>
          <w:szCs w:val="28"/>
          <w:u w:val="single"/>
          <w14:ligatures w14:val="standardContextual"/>
        </w:rPr>
        <w:t>Deepak Gupta</w:t>
      </w:r>
    </w:p>
    <w:p w14:paraId="424AE3ED" w14:textId="30176FEA" w:rsidR="008868DC" w:rsidRPr="00E405C4" w:rsidRDefault="008868DC" w:rsidP="00976748">
      <w:pPr>
        <w:shd w:val="clear" w:color="auto" w:fill="FFFFFF"/>
        <w:ind w:left="720"/>
        <w:rPr>
          <w:rFonts w:eastAsia="Times New Roman"/>
          <w:color w:val="222222"/>
          <w:szCs w:val="28"/>
          <w14:ligatures w14:val="standardContextual"/>
        </w:rPr>
      </w:pP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00976748" w:rsidRPr="00E405C4">
        <w:rPr>
          <w:rFonts w:eastAsia="Times New Roman"/>
          <w:color w:val="222222"/>
          <w:szCs w:val="28"/>
          <w14:ligatures w14:val="standardContextual"/>
        </w:rPr>
        <w:t>Deepak Gupta</w:t>
      </w:r>
    </w:p>
    <w:p w14:paraId="1FD04403" w14:textId="0D63F5D7" w:rsidR="00743A83" w:rsidRPr="00E405C4" w:rsidRDefault="00743A83" w:rsidP="00FF0998">
      <w:pPr>
        <w:shd w:val="clear" w:color="auto" w:fill="FFFFFF"/>
        <w:spacing w:line="560" w:lineRule="exact"/>
        <w:rPr>
          <w:rFonts w:eastAsia="Times New Roman"/>
          <w:color w:val="222222"/>
          <w:szCs w:val="28"/>
          <w14:ligatures w14:val="standardContextual"/>
        </w:rPr>
      </w:pPr>
    </w:p>
    <w:p w14:paraId="440135B9" w14:textId="58A941C5" w:rsidR="00743A83" w:rsidRPr="00E405C4" w:rsidRDefault="00743A83" w:rsidP="00FF0998">
      <w:pPr>
        <w:shd w:val="clear" w:color="auto" w:fill="FFFFFF"/>
        <w:spacing w:line="560" w:lineRule="exact"/>
        <w:ind w:left="720"/>
        <w:rPr>
          <w:rFonts w:eastAsia="Times New Roman"/>
          <w:color w:val="222222"/>
          <w:szCs w:val="28"/>
          <w14:ligatures w14:val="standardContextual"/>
        </w:rPr>
      </w:pP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r w:rsidRPr="00E405C4">
        <w:rPr>
          <w:rFonts w:eastAsia="Times New Roman"/>
          <w:color w:val="222222"/>
          <w:szCs w:val="28"/>
          <w14:ligatures w14:val="standardContextual"/>
        </w:rPr>
        <w:tab/>
      </w:r>
    </w:p>
    <w:p w14:paraId="61426B2B" w14:textId="17D532B7" w:rsidR="00EF286A" w:rsidRPr="00E405C4" w:rsidRDefault="00EF286A" w:rsidP="00FF0998">
      <w:pPr>
        <w:spacing w:line="560" w:lineRule="exact"/>
        <w:rPr>
          <w:rFonts w:cs="Baskerville"/>
          <w:szCs w:val="28"/>
          <w:u w:val="single"/>
          <w14:ligatures w14:val="standardContextual"/>
        </w:rPr>
      </w:pPr>
    </w:p>
    <w:sectPr w:rsidR="00EF286A" w:rsidRPr="00E405C4" w:rsidSect="00CF4A3A">
      <w:footerReference w:type="default" r:id="rId14"/>
      <w:pgSz w:w="12240" w:h="15840" w:code="1"/>
      <w:pgMar w:top="2160" w:right="2160" w:bottom="216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DCF1" w14:textId="77777777" w:rsidR="00BC7182" w:rsidRDefault="00BC7182" w:rsidP="001C27AE">
      <w:r>
        <w:separator/>
      </w:r>
    </w:p>
  </w:endnote>
  <w:endnote w:type="continuationSeparator" w:id="0">
    <w:p w14:paraId="2705EDDE" w14:textId="77777777" w:rsidR="00BC7182" w:rsidRDefault="00BC7182" w:rsidP="001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Adobe Garamond Pro Bold">
    <w:panose1 w:val="020B0604020202020204"/>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Old English Text MT">
    <w:panose1 w:val="020B0604020202020204"/>
    <w:charset w:val="4D"/>
    <w:family w:val="script"/>
    <w:pitch w:val="variable"/>
    <w:sig w:usb0="00000003" w:usb1="00000000" w:usb2="00000000" w:usb3="00000000" w:csb0="00000001" w:csb1="00000000"/>
  </w:font>
  <w:font w:name="CenturyExpd BT Roman">
    <w:altName w:val="Cambria"/>
    <w:panose1 w:val="020B0604020202020204"/>
    <w:charset w:val="00"/>
    <w:family w:val="roman"/>
    <w:pitch w:val="variable"/>
    <w:sig w:usb0="800000AF" w:usb1="1000204A" w:usb2="00000000" w:usb3="00000000" w:csb0="0000001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28065"/>
      <w:docPartObj>
        <w:docPartGallery w:val="Page Numbers (Bottom of Page)"/>
        <w:docPartUnique/>
      </w:docPartObj>
    </w:sdtPr>
    <w:sdtContent>
      <w:p w14:paraId="551965E4" w14:textId="33B03F5C" w:rsidR="005C6126" w:rsidRDefault="005C6126" w:rsidP="005C14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ACF02AE" w14:textId="77777777" w:rsidR="005C6126" w:rsidRDefault="005C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FA70" w14:textId="77777777" w:rsidR="00B667DF" w:rsidRPr="007F3839" w:rsidRDefault="00B667DF" w:rsidP="00AF6BB9">
    <w:pPr>
      <w:pStyle w:val="Footer"/>
      <w:rPr>
        <w:rFonts w:ascii="CenturyExpd BT Roman" w:hAnsi="CenturyExpd BT Roman"/>
        <w:szCs w:val="28"/>
      </w:rPr>
    </w:pPr>
  </w:p>
  <w:p w14:paraId="212B8769" w14:textId="78EC4BB4" w:rsidR="00B667DF" w:rsidRPr="007F3839" w:rsidRDefault="00833E4B" w:rsidP="00833E4B">
    <w:pPr>
      <w:pStyle w:val="Footer"/>
      <w:tabs>
        <w:tab w:val="clear" w:pos="4320"/>
        <w:tab w:val="clear" w:pos="8640"/>
        <w:tab w:val="left" w:pos="2965"/>
      </w:tabs>
      <w:rPr>
        <w:rFonts w:ascii="CenturyExpd BT Roman" w:hAnsi="CenturyExpd BT Roman"/>
        <w:szCs w:val="28"/>
      </w:rPr>
    </w:pPr>
    <w:r>
      <w:rPr>
        <w:rFonts w:ascii="CenturyExpd BT Roman" w:hAnsi="CenturyExpd BT Roman"/>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35545821"/>
      <w:docPartObj>
        <w:docPartGallery w:val="Page Numbers (Bottom of Page)"/>
        <w:docPartUnique/>
      </w:docPartObj>
    </w:sdtPr>
    <w:sdtContent>
      <w:p w14:paraId="19F834EA" w14:textId="026C0A57" w:rsidR="00833E4B" w:rsidRPr="00833E4B" w:rsidRDefault="00833E4B" w:rsidP="005C1460">
        <w:pPr>
          <w:pStyle w:val="Footer"/>
          <w:framePr w:wrap="none" w:vAnchor="text" w:hAnchor="margin" w:xAlign="center" w:y="1"/>
          <w:rPr>
            <w:rStyle w:val="PageNumber"/>
            <w:rFonts w:ascii="Garamond" w:hAnsi="Garamond"/>
          </w:rPr>
        </w:pPr>
        <w:r w:rsidRPr="00833E4B">
          <w:rPr>
            <w:rStyle w:val="PageNumber"/>
            <w:rFonts w:ascii="Garamond" w:hAnsi="Garamond"/>
          </w:rPr>
          <w:fldChar w:fldCharType="begin"/>
        </w:r>
        <w:r w:rsidRPr="00833E4B">
          <w:rPr>
            <w:rStyle w:val="PageNumber"/>
            <w:rFonts w:ascii="Garamond" w:hAnsi="Garamond"/>
          </w:rPr>
          <w:instrText xml:space="preserve"> PAGE </w:instrText>
        </w:r>
        <w:r w:rsidRPr="00833E4B">
          <w:rPr>
            <w:rStyle w:val="PageNumber"/>
            <w:rFonts w:ascii="Garamond" w:hAnsi="Garamond"/>
          </w:rPr>
          <w:fldChar w:fldCharType="separate"/>
        </w:r>
        <w:r w:rsidRPr="00833E4B">
          <w:rPr>
            <w:rStyle w:val="PageNumber"/>
            <w:rFonts w:ascii="Garamond" w:hAnsi="Garamond"/>
            <w:noProof/>
          </w:rPr>
          <w:t>i</w:t>
        </w:r>
        <w:r w:rsidRPr="00833E4B">
          <w:rPr>
            <w:rStyle w:val="PageNumber"/>
            <w:rFonts w:ascii="Garamond" w:hAnsi="Garamond"/>
          </w:rPr>
          <w:fldChar w:fldCharType="end"/>
        </w:r>
      </w:p>
    </w:sdtContent>
  </w:sdt>
  <w:p w14:paraId="5F99A86F" w14:textId="77777777" w:rsidR="00833E4B" w:rsidRPr="007F3839" w:rsidRDefault="00833E4B" w:rsidP="00AF6BB9">
    <w:pPr>
      <w:pStyle w:val="Footer"/>
      <w:rPr>
        <w:rFonts w:ascii="CenturyExpd BT Roman" w:hAnsi="CenturyExpd BT Roman"/>
        <w:szCs w:val="28"/>
      </w:rPr>
    </w:pPr>
  </w:p>
  <w:p w14:paraId="24DF965F" w14:textId="05D55AF7" w:rsidR="00833E4B" w:rsidRPr="007F3839" w:rsidRDefault="00833E4B" w:rsidP="00833E4B">
    <w:pPr>
      <w:pStyle w:val="Footer"/>
      <w:tabs>
        <w:tab w:val="clear" w:pos="4320"/>
        <w:tab w:val="clear" w:pos="8640"/>
      </w:tabs>
      <w:rPr>
        <w:rFonts w:ascii="CenturyExpd BT Roman" w:hAnsi="CenturyExpd BT Roman"/>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DFE" w14:textId="77777777" w:rsidR="00786DCE" w:rsidRDefault="00786DCE">
    <w:pPr>
      <w:tabs>
        <w:tab w:val="center" w:pos="3080"/>
      </w:tabs>
      <w:spacing w:line="259" w:lineRule="auto"/>
      <w:ind w:left="-161"/>
    </w:pPr>
    <w:r>
      <w:t xml:space="preserve"> </w:t>
    </w:r>
    <w:r>
      <w:tab/>
      <w:t>-</w:t>
    </w:r>
    <w:r>
      <w:fldChar w:fldCharType="begin"/>
    </w:r>
    <w:r>
      <w:instrText xml:space="preserve"> PAGE   \* MERGEFORMAT </w:instrText>
    </w:r>
    <w:r>
      <w:fldChar w:fldCharType="separate"/>
    </w:r>
    <w:r>
      <w:t>1</w:t>
    </w:r>
    <w:r>
      <w:fldChar w:fldCharType="end"/>
    </w:r>
    <w:r>
      <w:t xml:space="preserve">- </w:t>
    </w:r>
  </w:p>
  <w:p w14:paraId="3D1241A5" w14:textId="77777777" w:rsidR="00786DCE" w:rsidRDefault="00786DCE"/>
  <w:p w14:paraId="2CCA347C" w14:textId="77777777" w:rsidR="00786DCE" w:rsidRDefault="00786D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1E36" w14:textId="63300131" w:rsidR="00786DCE" w:rsidRDefault="00786DCE">
    <w:pPr>
      <w:tabs>
        <w:tab w:val="center" w:pos="3080"/>
      </w:tabs>
      <w:spacing w:line="259" w:lineRule="auto"/>
      <w:ind w:left="-161"/>
    </w:pPr>
    <w:r>
      <w:t xml:space="preserve"> </w:t>
    </w:r>
    <w:r>
      <w:tab/>
    </w:r>
    <w:r w:rsidR="007239B0">
      <w:t xml:space="preserve">              </w:t>
    </w:r>
    <w:r>
      <w:fldChar w:fldCharType="begin"/>
    </w:r>
    <w:r>
      <w:instrText xml:space="preserve"> PAGE   \* MERGEFORMAT </w:instrText>
    </w:r>
    <w:r>
      <w:fldChar w:fldCharType="separate"/>
    </w:r>
    <w:r>
      <w:t>1</w:t>
    </w:r>
    <w:r>
      <w:fldChar w:fldCharType="end"/>
    </w:r>
    <w:r>
      <w:t xml:space="preserve"> </w:t>
    </w:r>
  </w:p>
  <w:p w14:paraId="55B50B65" w14:textId="77777777" w:rsidR="00786DCE" w:rsidRDefault="00786DCE"/>
  <w:p w14:paraId="0AB3AFE2" w14:textId="77777777" w:rsidR="00786DCE" w:rsidRDefault="00786DC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C59" w14:textId="77777777" w:rsidR="00786DCE" w:rsidRDefault="00786DCE">
    <w:pPr>
      <w:tabs>
        <w:tab w:val="center" w:pos="3080"/>
      </w:tabs>
      <w:spacing w:line="259" w:lineRule="auto"/>
      <w:ind w:left="-161"/>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832A" w14:textId="77777777" w:rsidR="00B667DF" w:rsidRPr="007F3839" w:rsidRDefault="00B667DF" w:rsidP="00AF6BB9">
    <w:pPr>
      <w:pStyle w:val="Footer"/>
      <w:rPr>
        <w:rFonts w:ascii="CenturyExpd BT Roman" w:hAnsi="CenturyExpd BT Roman"/>
        <w:szCs w:val="28"/>
      </w:rPr>
    </w:pPr>
  </w:p>
  <w:p w14:paraId="301CA924" w14:textId="77777777" w:rsidR="00B667DF" w:rsidRPr="007F3839" w:rsidRDefault="00B667DF">
    <w:pPr>
      <w:pStyle w:val="Footer"/>
      <w:rPr>
        <w:rFonts w:ascii="CenturyExpd BT Roman" w:hAnsi="CenturyExpd BT Roman"/>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7E97" w14:textId="77777777" w:rsidR="00BC7182" w:rsidRDefault="00BC7182" w:rsidP="001C27AE">
      <w:r>
        <w:separator/>
      </w:r>
    </w:p>
  </w:footnote>
  <w:footnote w:type="continuationSeparator" w:id="0">
    <w:p w14:paraId="03A98CAE" w14:textId="77777777" w:rsidR="00BC7182" w:rsidRDefault="00BC7182" w:rsidP="001C27AE">
      <w:r>
        <w:continuationSeparator/>
      </w:r>
    </w:p>
  </w:footnote>
  <w:footnote w:id="1">
    <w:p w14:paraId="0C07FB5D" w14:textId="77777777" w:rsidR="0015778B" w:rsidRDefault="0015778B" w:rsidP="0015778B">
      <w:pPr>
        <w:pStyle w:val="FootnoteText"/>
      </w:pPr>
      <w:r>
        <w:rPr>
          <w:rStyle w:val="FootnoteReference"/>
        </w:rPr>
        <w:footnoteRef/>
      </w:r>
      <w:r>
        <w:t xml:space="preserve"> </w:t>
      </w:r>
      <w:r w:rsidRPr="007008D6">
        <w:t xml:space="preserve">Trial exhibits are referred to by their exhibit number, preceded by “P-” for </w:t>
      </w:r>
      <w:r>
        <w:t>P</w:t>
      </w:r>
      <w:r w:rsidRPr="007008D6">
        <w:t xml:space="preserve">laintiff and “D-” for </w:t>
      </w:r>
      <w:r>
        <w:t>D</w:t>
      </w:r>
      <w:r w:rsidRPr="007008D6">
        <w:t>efendant</w:t>
      </w:r>
      <w:r>
        <w:t xml:space="preserve">; </w:t>
      </w:r>
      <w:r w:rsidRPr="007008D6">
        <w:t>“Tr.” refers to the Reports of Trial Proceedings; “KRP” refers to the Reports of Proceedings transcribed by Kennedy; “HRP” refers to the Reports of</w:t>
      </w:r>
      <w:r>
        <w:t xml:space="preserve"> </w:t>
      </w:r>
      <w:r w:rsidRPr="007008D6">
        <w:t>Proceedings transcribed by Hammer; and “CP” refers to the Clerk’s Papers. Unless otherwise indicated, internal citations</w:t>
      </w:r>
      <w:r>
        <w:t>, alterations,</w:t>
      </w:r>
      <w:r w:rsidRPr="007008D6">
        <w:t xml:space="preserve"> and quotation marks are omitted</w:t>
      </w:r>
      <w:r>
        <w:t>. “Monsanto” refers to both Monsanto and its successor, Pharmacia.</w:t>
      </w:r>
    </w:p>
  </w:footnote>
  <w:footnote w:id="2">
    <w:p w14:paraId="2942DA48" w14:textId="760B6B54" w:rsidR="0015778B" w:rsidRPr="000135B2" w:rsidRDefault="0015778B" w:rsidP="0015778B">
      <w:pPr>
        <w:pStyle w:val="FootnoteText"/>
      </w:pPr>
      <w:r>
        <w:rPr>
          <w:rStyle w:val="FootnoteReference"/>
        </w:rPr>
        <w:footnoteRef/>
      </w:r>
      <w:r>
        <w:t xml:space="preserve"> </w:t>
      </w:r>
      <w:r w:rsidRPr="004E0785">
        <w:t xml:space="preserve">Years later, </w:t>
      </w:r>
      <w:r w:rsidRPr="004E0785">
        <w:rPr>
          <w:i/>
          <w:iCs/>
        </w:rPr>
        <w:t>Chemical Week</w:t>
      </w:r>
      <w:r w:rsidRPr="004E0785">
        <w:t xml:space="preserve"> would report that</w:t>
      </w:r>
      <w:r>
        <w:t xml:space="preserve"> </w:t>
      </w:r>
      <w:r w:rsidRPr="004E0785">
        <w:t xml:space="preserve">a former Monsanto scientist at </w:t>
      </w:r>
      <w:r>
        <w:t xml:space="preserve">IBT, </w:t>
      </w:r>
      <w:r w:rsidRPr="004E0785">
        <w:t>the outside lab responsible for testing Monsanto’s PCBs, had</w:t>
      </w:r>
      <w:r>
        <w:t>—</w:t>
      </w:r>
      <w:r w:rsidRPr="004E0785">
        <w:t>at Monsanto’s behest</w:t>
      </w:r>
      <w:proofErr w:type="gramStart"/>
      <w:r>
        <w:t>—</w:t>
      </w:r>
      <w:r w:rsidRPr="004E0785">
        <w:t>“</w:t>
      </w:r>
      <w:proofErr w:type="gramEnd"/>
      <w:r w:rsidRPr="004E0785">
        <w:t xml:space="preserve">systematically falsified test data.” </w:t>
      </w:r>
      <w:r w:rsidRPr="00B20C6E">
        <w:rPr>
          <w:i/>
          <w:iCs/>
        </w:rPr>
        <w:t>Tighter Controls on Toxics Testing</w:t>
      </w:r>
      <w:r w:rsidRPr="0015778B">
        <w:t>, Chemical Week, 145</w:t>
      </w:r>
      <w:r w:rsidR="00B20C6E">
        <w:t>:</w:t>
      </w:r>
      <w:r w:rsidRPr="0015778B">
        <w:t xml:space="preserve"> 32-39 (Aug 24, 1983)</w:t>
      </w:r>
      <w:r>
        <w:fldChar w:fldCharType="begin"/>
      </w:r>
      <w:r>
        <w:instrText xml:space="preserve"> TA \l "</w:instrText>
      </w:r>
      <w:r w:rsidRPr="0072464F">
        <w:instrText>Tighter Controls on Toxics Testing, Chemical Week, Vol. 145 39 (Aug 24, 1983)</w:instrText>
      </w:r>
      <w:r>
        <w:instrText xml:space="preserve">" \s "Tighter Controls on Toxics Testing, Chemical Week, Vol. 145, at 32-39 (Aug 24, 1983)" \c 3 </w:instrText>
      </w:r>
      <w:r>
        <w:fldChar w:fldCharType="end"/>
      </w:r>
      <w:r w:rsidRPr="0015778B">
        <w:t>.</w:t>
      </w:r>
      <w:r w:rsidRPr="004E0785">
        <w:t xml:space="preserve"> At the time, this was described as the “most massive scientific fraud in American history.” </w:t>
      </w:r>
      <w:r w:rsidRPr="004E0785">
        <w:rPr>
          <w:i/>
          <w:iCs/>
        </w:rPr>
        <w:t>Id.</w:t>
      </w:r>
      <w:r>
        <w:rPr>
          <w:i/>
          <w:iCs/>
        </w:rPr>
        <w:fldChar w:fldCharType="begin"/>
      </w:r>
      <w:r>
        <w:instrText xml:space="preserve"> TA \s "Tighter Controls on Toxics Testing, Chemical Week, Vol. 145, at 32-39 (Aug 24, 1983)" </w:instrText>
      </w:r>
      <w:r>
        <w:rPr>
          <w:i/>
          <w:iCs/>
        </w:rPr>
        <w:fldChar w:fldCharType="end"/>
      </w:r>
      <w:r w:rsidRPr="004E0785">
        <w:t xml:space="preserve"> </w:t>
      </w:r>
      <w:r>
        <w:t>C</w:t>
      </w:r>
      <w:r w:rsidRPr="004E0785">
        <w:t xml:space="preserve">riminal convictions followed. But the </w:t>
      </w:r>
      <w:r>
        <w:t>convictions</w:t>
      </w:r>
      <w:r w:rsidRPr="004E0785">
        <w:t xml:space="preserve"> </w:t>
      </w:r>
      <w:r>
        <w:t>centered around other chemicals</w:t>
      </w:r>
      <w:r w:rsidRPr="004E0785">
        <w:t xml:space="preserve">, </w:t>
      </w:r>
      <w:r>
        <w:t xml:space="preserve">so </w:t>
      </w:r>
      <w:r w:rsidRPr="004E0785">
        <w:t xml:space="preserve">evidence </w:t>
      </w:r>
      <w:r>
        <w:t>of</w:t>
      </w:r>
      <w:r w:rsidRPr="004E0785">
        <w:t xml:space="preserve"> IBT</w:t>
      </w:r>
      <w:r>
        <w:t>’</w:t>
      </w:r>
      <w:r w:rsidRPr="004E0785">
        <w:t>s fraudulent testing of PCBs was excluded</w:t>
      </w:r>
      <w:r w:rsidR="00B20C6E">
        <w:t xml:space="preserve"> below</w:t>
      </w:r>
      <w:r w:rsidRPr="004E0785">
        <w:t>. We note it here only for context</w:t>
      </w:r>
      <w:r>
        <w:t>.</w:t>
      </w:r>
    </w:p>
  </w:footnote>
  <w:footnote w:id="3">
    <w:p w14:paraId="04BCB82E" w14:textId="77777777" w:rsidR="0015778B" w:rsidRDefault="0015778B" w:rsidP="0015778B">
      <w:pPr>
        <w:pStyle w:val="FootnoteText"/>
      </w:pPr>
      <w:r>
        <w:rPr>
          <w:rStyle w:val="FootnoteReference"/>
        </w:rPr>
        <w:footnoteRef/>
      </w:r>
      <w:r>
        <w:t xml:space="preserve"> A capacitor is a “charge storing device,” and “smooth[s] voltage” so “we don’t see the [lights] flicker.” Tr. 669-70.</w:t>
      </w:r>
    </w:p>
  </w:footnote>
  <w:footnote w:id="4">
    <w:p w14:paraId="50326D91" w14:textId="60916340" w:rsidR="00DF4DD8" w:rsidRDefault="00DF4DD8" w:rsidP="00DF4DD8">
      <w:pPr>
        <w:pStyle w:val="FootnoteText"/>
      </w:pPr>
      <w:r>
        <w:rPr>
          <w:rStyle w:val="FootnoteReference"/>
        </w:rPr>
        <w:footnoteRef/>
      </w:r>
      <w:r>
        <w:t xml:space="preserve"> </w:t>
      </w:r>
      <w:r w:rsidRPr="00EF3ECE">
        <w:t>The</w:t>
      </w:r>
      <w:r>
        <w:t xml:space="preserve"> </w:t>
      </w:r>
      <w:r w:rsidRPr="00EF3ECE">
        <w:t>other</w:t>
      </w:r>
      <w:r>
        <w:t xml:space="preserve"> </w:t>
      </w:r>
      <w:r w:rsidRPr="00EF3ECE">
        <w:t>cases</w:t>
      </w:r>
      <w:r>
        <w:t xml:space="preserve"> </w:t>
      </w:r>
      <w:r w:rsidRPr="00EF3ECE">
        <w:t>Monsanto</w:t>
      </w:r>
      <w:r>
        <w:t xml:space="preserve"> </w:t>
      </w:r>
      <w:r w:rsidRPr="00EF3ECE">
        <w:t>cites</w:t>
      </w:r>
      <w:r>
        <w:t xml:space="preserve"> </w:t>
      </w:r>
      <w:r w:rsidRPr="00EF3ECE">
        <w:t>are</w:t>
      </w:r>
      <w:r>
        <w:t xml:space="preserve"> </w:t>
      </w:r>
      <w:r w:rsidRPr="00EF3ECE">
        <w:t>no</w:t>
      </w:r>
      <w:r>
        <w:t xml:space="preserve"> </w:t>
      </w:r>
      <w:r w:rsidRPr="00EF3ECE">
        <w:t>more</w:t>
      </w:r>
      <w:r>
        <w:t xml:space="preserve"> </w:t>
      </w:r>
      <w:r w:rsidRPr="00EF3ECE">
        <w:t>relevant.</w:t>
      </w:r>
      <w:r>
        <w:t xml:space="preserve"> </w:t>
      </w:r>
      <w:r w:rsidRPr="00FD6A23">
        <w:rPr>
          <w:i/>
          <w:iCs/>
        </w:rPr>
        <w:t>In</w:t>
      </w:r>
      <w:r>
        <w:rPr>
          <w:i/>
          <w:iCs/>
        </w:rPr>
        <w:t xml:space="preserve"> </w:t>
      </w:r>
      <w:r w:rsidRPr="00FD6A23">
        <w:rPr>
          <w:i/>
          <w:iCs/>
        </w:rPr>
        <w:t>re</w:t>
      </w:r>
      <w:r>
        <w:rPr>
          <w:i/>
          <w:iCs/>
        </w:rPr>
        <w:t xml:space="preserve"> </w:t>
      </w:r>
      <w:r w:rsidRPr="00FD6A23">
        <w:rPr>
          <w:i/>
          <w:iCs/>
        </w:rPr>
        <w:t>ICP</w:t>
      </w:r>
      <w:r>
        <w:rPr>
          <w:i/>
          <w:iCs/>
        </w:rPr>
        <w:t xml:space="preserve"> </w:t>
      </w:r>
      <w:r w:rsidRPr="00FD6A23">
        <w:rPr>
          <w:i/>
          <w:iCs/>
        </w:rPr>
        <w:t>Strategic</w:t>
      </w:r>
      <w:r>
        <w:rPr>
          <w:i/>
          <w:iCs/>
        </w:rPr>
        <w:t xml:space="preserve"> </w:t>
      </w:r>
      <w:r w:rsidRPr="00FD6A23">
        <w:rPr>
          <w:i/>
          <w:iCs/>
        </w:rPr>
        <w:t>Credit</w:t>
      </w:r>
      <w:r>
        <w:rPr>
          <w:i/>
          <w:iCs/>
        </w:rPr>
        <w:t xml:space="preserve"> </w:t>
      </w:r>
      <w:r w:rsidRPr="00FD6A23">
        <w:rPr>
          <w:i/>
          <w:iCs/>
        </w:rPr>
        <w:t>Income</w:t>
      </w:r>
      <w:r>
        <w:rPr>
          <w:i/>
          <w:iCs/>
        </w:rPr>
        <w:t xml:space="preserve"> </w:t>
      </w:r>
      <w:r w:rsidRPr="00FD6A23">
        <w:rPr>
          <w:i/>
          <w:iCs/>
        </w:rPr>
        <w:t>Fund</w:t>
      </w:r>
      <w:r>
        <w:rPr>
          <w:i/>
          <w:iCs/>
        </w:rPr>
        <w:t xml:space="preserve"> </w:t>
      </w:r>
      <w:r w:rsidRPr="00FD6A23">
        <w:rPr>
          <w:i/>
          <w:iCs/>
        </w:rPr>
        <w:t>Ltd.</w:t>
      </w:r>
      <w:r>
        <w:t xml:space="preserve"> held </w:t>
      </w:r>
      <w:r w:rsidRPr="00EF3ECE">
        <w:t>that</w:t>
      </w:r>
      <w:r>
        <w:t xml:space="preserve"> </w:t>
      </w:r>
      <w:r w:rsidRPr="00EF3ECE">
        <w:t>New</w:t>
      </w:r>
      <w:r>
        <w:t xml:space="preserve"> </w:t>
      </w:r>
      <w:r w:rsidRPr="00EF3ECE">
        <w:t>York</w:t>
      </w:r>
      <w:r>
        <w:t xml:space="preserve"> </w:t>
      </w:r>
      <w:r w:rsidRPr="00EF3ECE">
        <w:t>has</w:t>
      </w:r>
      <w:r>
        <w:t xml:space="preserve"> </w:t>
      </w:r>
      <w:r w:rsidRPr="00ED5AE5">
        <w:rPr>
          <w:i/>
          <w:iCs/>
        </w:rPr>
        <w:t xml:space="preserve">not </w:t>
      </w:r>
      <w:r w:rsidRPr="00EF3ECE">
        <w:t>adopted</w:t>
      </w:r>
      <w:r>
        <w:t xml:space="preserve"> </w:t>
      </w:r>
      <w:proofErr w:type="spellStart"/>
      <w:r>
        <w:t>depecage</w:t>
      </w:r>
      <w:proofErr w:type="spellEnd"/>
      <w:r>
        <w:t xml:space="preserve"> </w:t>
      </w:r>
      <w:r w:rsidRPr="00EF3ECE">
        <w:t>and</w:t>
      </w:r>
      <w:r>
        <w:t xml:space="preserve"> </w:t>
      </w:r>
      <w:r w:rsidRPr="00EF3ECE">
        <w:t>th</w:t>
      </w:r>
      <w:r>
        <w:t xml:space="preserve">erefore </w:t>
      </w:r>
      <w:r w:rsidRPr="00EF3ECE">
        <w:t>does</w:t>
      </w:r>
      <w:r>
        <w:t xml:space="preserve"> </w:t>
      </w:r>
      <w:r w:rsidRPr="00EF3ECE">
        <w:t>not</w:t>
      </w:r>
      <w:r>
        <w:t xml:space="preserve"> “</w:t>
      </w:r>
      <w:r w:rsidRPr="00EF3ECE">
        <w:t>require[]</w:t>
      </w:r>
      <w:r>
        <w:t xml:space="preserve"> </w:t>
      </w:r>
      <w:r w:rsidRPr="00EF3ECE">
        <w:t>a</w:t>
      </w:r>
      <w:r>
        <w:t xml:space="preserve"> </w:t>
      </w:r>
      <w:r w:rsidRPr="00EF3ECE">
        <w:t>court</w:t>
      </w:r>
      <w:r>
        <w:t xml:space="preserve"> </w:t>
      </w:r>
      <w:r w:rsidRPr="00EF3ECE">
        <w:t>to</w:t>
      </w:r>
      <w:r>
        <w:t xml:space="preserve"> </w:t>
      </w:r>
      <w:r w:rsidRPr="00EF3ECE">
        <w:t>conduct</w:t>
      </w:r>
      <w:r>
        <w:t xml:space="preserve"> </w:t>
      </w:r>
      <w:r w:rsidRPr="00EF3ECE">
        <w:t>a</w:t>
      </w:r>
      <w:r>
        <w:t xml:space="preserve"> </w:t>
      </w:r>
      <w:r w:rsidRPr="00EF3ECE">
        <w:t>conflict</w:t>
      </w:r>
      <w:r>
        <w:t xml:space="preserve"> </w:t>
      </w:r>
      <w:r w:rsidRPr="00EF3ECE">
        <w:t>of</w:t>
      </w:r>
      <w:r>
        <w:t xml:space="preserve"> </w:t>
      </w:r>
      <w:r w:rsidRPr="00EF3ECE">
        <w:t>laws</w:t>
      </w:r>
      <w:r>
        <w:t xml:space="preserve"> </w:t>
      </w:r>
      <w:r w:rsidRPr="00EF3ECE">
        <w:t>analysis</w:t>
      </w:r>
      <w:r>
        <w:t xml:space="preserve"> </w:t>
      </w:r>
      <w:r w:rsidRPr="00EF3ECE">
        <w:t>on</w:t>
      </w:r>
      <w:r>
        <w:t xml:space="preserve"> </w:t>
      </w:r>
      <w:r w:rsidRPr="00EF3ECE">
        <w:t>an</w:t>
      </w:r>
      <w:r>
        <w:t xml:space="preserve"> </w:t>
      </w:r>
      <w:r w:rsidRPr="00EF3ECE">
        <w:t>issue-by-issue</w:t>
      </w:r>
      <w:r>
        <w:t xml:space="preserve"> </w:t>
      </w:r>
      <w:r w:rsidRPr="00EF3ECE">
        <w:t>basis.</w:t>
      </w:r>
      <w:r>
        <w:t xml:space="preserve">” </w:t>
      </w:r>
      <w:r w:rsidRPr="00FD6A23">
        <w:t>568</w:t>
      </w:r>
      <w:r>
        <w:t xml:space="preserve"> </w:t>
      </w:r>
      <w:r w:rsidRPr="00FD6A23">
        <w:t>B.R.</w:t>
      </w:r>
      <w:r>
        <w:t xml:space="preserve"> </w:t>
      </w:r>
      <w:r w:rsidRPr="00FD6A23">
        <w:t>596,</w:t>
      </w:r>
      <w:r>
        <w:t xml:space="preserve"> </w:t>
      </w:r>
      <w:r w:rsidRPr="00FD6A23">
        <w:t>608</w:t>
      </w:r>
      <w:r>
        <w:t xml:space="preserve"> </w:t>
      </w:r>
      <w:r w:rsidRPr="00FD6A23">
        <w:t>(S.D.N.Y.</w:t>
      </w:r>
      <w:r>
        <w:t xml:space="preserve"> </w:t>
      </w:r>
      <w:r w:rsidRPr="00FD6A23">
        <w:t>2017)</w:t>
      </w:r>
      <w:r w:rsidR="004960DE">
        <w:fldChar w:fldCharType="begin"/>
      </w:r>
      <w:r w:rsidR="004960DE">
        <w:instrText xml:space="preserve"> TA \l "</w:instrText>
      </w:r>
      <w:r w:rsidR="004960DE" w:rsidRPr="004E2E4B">
        <w:rPr>
          <w:i/>
          <w:iCs/>
        </w:rPr>
        <w:instrText>In re ICP Strategic Credit Income Fund Ltd.,</w:instrText>
      </w:r>
      <w:r w:rsidR="004960DE" w:rsidRPr="004E2E4B">
        <w:rPr>
          <w:i/>
          <w:iCs/>
        </w:rPr>
        <w:br/>
      </w:r>
      <w:r w:rsidR="004960DE" w:rsidRPr="004E2E4B">
        <w:instrText>568 B.R. 596 (S.D.N.Y. 2017)</w:instrText>
      </w:r>
      <w:r w:rsidR="004960DE">
        <w:instrText xml:space="preserve">" \s "In re ICP, 568 B.R. 596" \c 1 </w:instrText>
      </w:r>
      <w:r w:rsidR="004960DE">
        <w:fldChar w:fldCharType="end"/>
      </w:r>
      <w:r w:rsidRPr="00EF3ECE">
        <w:t>.</w:t>
      </w:r>
      <w:r>
        <w:t xml:space="preserve"> </w:t>
      </w:r>
      <w:r w:rsidR="00F11D55" w:rsidRPr="00EF3ECE">
        <w:rPr>
          <w:i/>
          <w:iCs/>
        </w:rPr>
        <w:t>Hightower</w:t>
      </w:r>
      <w:r w:rsidR="00F11D55">
        <w:rPr>
          <w:i/>
          <w:iCs/>
        </w:rPr>
        <w:t xml:space="preserve"> </w:t>
      </w:r>
      <w:r w:rsidR="00F11D55" w:rsidRPr="00EF3ECE">
        <w:rPr>
          <w:i/>
          <w:iCs/>
        </w:rPr>
        <w:t>v.</w:t>
      </w:r>
      <w:r w:rsidR="00F11D55">
        <w:rPr>
          <w:i/>
          <w:iCs/>
        </w:rPr>
        <w:t xml:space="preserve"> </w:t>
      </w:r>
      <w:r w:rsidR="00F11D55" w:rsidRPr="00EF3ECE">
        <w:rPr>
          <w:i/>
          <w:iCs/>
        </w:rPr>
        <w:t>Kan</w:t>
      </w:r>
      <w:r w:rsidR="00F11D55">
        <w:rPr>
          <w:i/>
          <w:iCs/>
        </w:rPr>
        <w:t xml:space="preserve">. </w:t>
      </w:r>
      <w:r w:rsidR="00F11D55" w:rsidRPr="00EF3ECE">
        <w:rPr>
          <w:i/>
          <w:iCs/>
        </w:rPr>
        <w:t>City</w:t>
      </w:r>
      <w:r w:rsidR="00F11D55">
        <w:rPr>
          <w:i/>
          <w:iCs/>
        </w:rPr>
        <w:t xml:space="preserve"> </w:t>
      </w:r>
      <w:r w:rsidR="00F11D55" w:rsidRPr="00EF3ECE">
        <w:rPr>
          <w:i/>
          <w:iCs/>
        </w:rPr>
        <w:t>S</w:t>
      </w:r>
      <w:r w:rsidR="00F11D55">
        <w:rPr>
          <w:i/>
          <w:iCs/>
        </w:rPr>
        <w:t xml:space="preserve">. </w:t>
      </w:r>
      <w:r w:rsidR="00F11D55" w:rsidRPr="00EF3ECE">
        <w:rPr>
          <w:i/>
          <w:iCs/>
        </w:rPr>
        <w:t>Ry</w:t>
      </w:r>
      <w:r w:rsidR="00F11D55">
        <w:rPr>
          <w:i/>
          <w:iCs/>
        </w:rPr>
        <w:t xml:space="preserve">. </w:t>
      </w:r>
      <w:r w:rsidR="00F11D55" w:rsidRPr="00EF3ECE">
        <w:rPr>
          <w:i/>
          <w:iCs/>
        </w:rPr>
        <w:t>Co.</w:t>
      </w:r>
      <w:r w:rsidR="00F11D55">
        <w:t xml:space="preserve"> </w:t>
      </w:r>
      <w:r w:rsidRPr="00EF3ECE">
        <w:t>held</w:t>
      </w:r>
      <w:r>
        <w:t xml:space="preserve"> </w:t>
      </w:r>
      <w:r w:rsidRPr="00EF3ECE">
        <w:t>that</w:t>
      </w:r>
      <w:r>
        <w:t xml:space="preserve"> “</w:t>
      </w:r>
      <w:r w:rsidRPr="00EF3ECE">
        <w:t>a</w:t>
      </w:r>
      <w:r>
        <w:t xml:space="preserve"> </w:t>
      </w:r>
      <w:r w:rsidRPr="00EF3ECE">
        <w:t>negligence</w:t>
      </w:r>
      <w:r>
        <w:t xml:space="preserve"> </w:t>
      </w:r>
      <w:r w:rsidRPr="00EF3ECE">
        <w:t>action</w:t>
      </w:r>
      <w:r>
        <w:t xml:space="preserve">” </w:t>
      </w:r>
      <w:r w:rsidRPr="00EF3ECE">
        <w:t>and</w:t>
      </w:r>
      <w:r>
        <w:t xml:space="preserve"> “</w:t>
      </w:r>
      <w:r w:rsidRPr="00EF3ECE">
        <w:t>the</w:t>
      </w:r>
      <w:r>
        <w:t xml:space="preserve"> </w:t>
      </w:r>
      <w:r w:rsidRPr="00EF3ECE">
        <w:t>affirmative</w:t>
      </w:r>
      <w:r>
        <w:t xml:space="preserve"> </w:t>
      </w:r>
      <w:r w:rsidRPr="00EF3ECE">
        <w:t>defense</w:t>
      </w:r>
      <w:r>
        <w:t xml:space="preserve"> </w:t>
      </w:r>
      <w:r w:rsidRPr="00EF3ECE">
        <w:t>of</w:t>
      </w:r>
      <w:r>
        <w:t xml:space="preserve"> </w:t>
      </w:r>
      <w:r w:rsidRPr="00EF3ECE">
        <w:t>comparative</w:t>
      </w:r>
      <w:r>
        <w:t xml:space="preserve"> </w:t>
      </w:r>
      <w:r w:rsidRPr="00EF3ECE">
        <w:t>negligence</w:t>
      </w:r>
      <w:r>
        <w:t xml:space="preserve">” under Oklahoma law </w:t>
      </w:r>
      <w:r w:rsidRPr="00EF3ECE">
        <w:t>are</w:t>
      </w:r>
      <w:r>
        <w:t xml:space="preserve"> </w:t>
      </w:r>
      <w:r w:rsidRPr="00EF3ECE">
        <w:t>treated</w:t>
      </w:r>
      <w:r>
        <w:t xml:space="preserve"> </w:t>
      </w:r>
      <w:r w:rsidRPr="00EF3ECE">
        <w:t>as</w:t>
      </w:r>
      <w:r>
        <w:t xml:space="preserve"> </w:t>
      </w:r>
      <w:r w:rsidRPr="00EF3ECE">
        <w:t>the</w:t>
      </w:r>
      <w:r>
        <w:t xml:space="preserve"> </w:t>
      </w:r>
      <w:r w:rsidRPr="00EF3ECE">
        <w:t>same</w:t>
      </w:r>
      <w:r>
        <w:t xml:space="preserve"> “</w:t>
      </w:r>
      <w:r w:rsidRPr="00EF3ECE">
        <w:t>issue</w:t>
      </w:r>
      <w:r>
        <w:t xml:space="preserve">” </w:t>
      </w:r>
      <w:r w:rsidRPr="00EF3ECE">
        <w:t>for</w:t>
      </w:r>
      <w:r>
        <w:t xml:space="preserve"> </w:t>
      </w:r>
      <w:r w:rsidRPr="00EF3ECE">
        <w:t>choice-of-law</w:t>
      </w:r>
      <w:r>
        <w:t xml:space="preserve"> </w:t>
      </w:r>
      <w:r w:rsidRPr="00EF3ECE">
        <w:t>purposes</w:t>
      </w:r>
      <w:r>
        <w:t xml:space="preserve">. </w:t>
      </w:r>
      <w:r w:rsidRPr="00EF3ECE">
        <w:t>70</w:t>
      </w:r>
      <w:r>
        <w:t xml:space="preserve"> </w:t>
      </w:r>
      <w:r w:rsidRPr="00EF3ECE">
        <w:t>P.3d</w:t>
      </w:r>
      <w:r>
        <w:t xml:space="preserve"> </w:t>
      </w:r>
      <w:r w:rsidRPr="00EF3ECE">
        <w:t>835,</w:t>
      </w:r>
      <w:r>
        <w:t xml:space="preserve"> </w:t>
      </w:r>
      <w:r w:rsidRPr="00EF3ECE">
        <w:t>842</w:t>
      </w:r>
      <w:r>
        <w:t xml:space="preserve"> </w:t>
      </w:r>
      <w:r w:rsidRPr="00EF3ECE">
        <w:t>(Okla.</w:t>
      </w:r>
      <w:r>
        <w:t xml:space="preserve"> </w:t>
      </w:r>
      <w:r w:rsidRPr="00EF3ECE">
        <w:t>2003)</w:t>
      </w:r>
      <w:r w:rsidR="004960DE">
        <w:fldChar w:fldCharType="begin"/>
      </w:r>
      <w:r w:rsidR="004960DE">
        <w:instrText xml:space="preserve"> TA \l "</w:instrText>
      </w:r>
      <w:r w:rsidR="004960DE" w:rsidRPr="004E2E4B">
        <w:rPr>
          <w:i/>
          <w:iCs/>
        </w:rPr>
        <w:instrText xml:space="preserve">Hightower v. Kansas </w:instrText>
      </w:r>
      <w:r w:rsidR="004960DE" w:rsidRPr="004E2E4B">
        <w:instrText>City,</w:instrText>
      </w:r>
      <w:r w:rsidR="004960DE" w:rsidRPr="004E2E4B">
        <w:br/>
        <w:instrText>70 P.3d 835 (Okla. 2003)</w:instrText>
      </w:r>
      <w:r w:rsidR="004960DE">
        <w:instrText xml:space="preserve">" \s "Hightower, 70 P.3d 835" \c 1 </w:instrText>
      </w:r>
      <w:r w:rsidR="004960DE">
        <w:fldChar w:fldCharType="end"/>
      </w:r>
      <w:r w:rsidRPr="00EF3ECE">
        <w:t>.</w:t>
      </w:r>
      <w:r>
        <w:t xml:space="preserve"> </w:t>
      </w:r>
      <w:r w:rsidRPr="00EF3ECE">
        <w:t>Finally,</w:t>
      </w:r>
      <w:r>
        <w:t xml:space="preserve"> </w:t>
      </w:r>
      <w:proofErr w:type="spellStart"/>
      <w:r w:rsidRPr="00EF3ECE">
        <w:rPr>
          <w:i/>
          <w:iCs/>
        </w:rPr>
        <w:t>Trenado</w:t>
      </w:r>
      <w:proofErr w:type="spellEnd"/>
      <w:r>
        <w:rPr>
          <w:i/>
          <w:iCs/>
        </w:rPr>
        <w:t xml:space="preserve"> </w:t>
      </w:r>
      <w:r w:rsidRPr="00EF3ECE">
        <w:rPr>
          <w:i/>
          <w:iCs/>
        </w:rPr>
        <w:t>v.</w:t>
      </w:r>
      <w:r>
        <w:rPr>
          <w:i/>
          <w:iCs/>
        </w:rPr>
        <w:t xml:space="preserve"> </w:t>
      </w:r>
      <w:r w:rsidRPr="00EF3ECE">
        <w:rPr>
          <w:i/>
          <w:iCs/>
        </w:rPr>
        <w:t>Cooper</w:t>
      </w:r>
      <w:r>
        <w:rPr>
          <w:i/>
          <w:iCs/>
        </w:rPr>
        <w:t xml:space="preserve"> </w:t>
      </w:r>
      <w:r w:rsidRPr="00EF3ECE">
        <w:rPr>
          <w:i/>
          <w:iCs/>
        </w:rPr>
        <w:t>Tire</w:t>
      </w:r>
      <w:r>
        <w:rPr>
          <w:i/>
          <w:iCs/>
        </w:rPr>
        <w:t xml:space="preserve"> </w:t>
      </w:r>
      <w:r w:rsidRPr="00EF3ECE">
        <w:rPr>
          <w:i/>
          <w:iCs/>
        </w:rPr>
        <w:t>&amp;</w:t>
      </w:r>
      <w:r>
        <w:rPr>
          <w:i/>
          <w:iCs/>
        </w:rPr>
        <w:t xml:space="preserve"> </w:t>
      </w:r>
      <w:r w:rsidRPr="00EF3ECE">
        <w:rPr>
          <w:i/>
          <w:iCs/>
        </w:rPr>
        <w:t>Rubber</w:t>
      </w:r>
      <w:r>
        <w:rPr>
          <w:i/>
          <w:iCs/>
        </w:rPr>
        <w:t xml:space="preserve"> </w:t>
      </w:r>
      <w:r w:rsidRPr="00EF3ECE">
        <w:rPr>
          <w:i/>
          <w:iCs/>
        </w:rPr>
        <w:t>Co.</w:t>
      </w:r>
      <w:r>
        <w:rPr>
          <w:i/>
          <w:iCs/>
        </w:rPr>
        <w:t xml:space="preserve"> </w:t>
      </w:r>
      <w:r>
        <w:t xml:space="preserve">declined to apply </w:t>
      </w:r>
      <w:r w:rsidRPr="00EF3ECE">
        <w:t>Mexican</w:t>
      </w:r>
      <w:r>
        <w:t xml:space="preserve"> </w:t>
      </w:r>
      <w:r w:rsidRPr="00EF3ECE">
        <w:t>law</w:t>
      </w:r>
      <w:r>
        <w:t xml:space="preserve"> </w:t>
      </w:r>
      <w:r w:rsidRPr="00EF3ECE">
        <w:t>to</w:t>
      </w:r>
      <w:r>
        <w:t xml:space="preserve"> </w:t>
      </w:r>
      <w:r w:rsidRPr="00EF3ECE">
        <w:t>an</w:t>
      </w:r>
      <w:r>
        <w:t xml:space="preserve"> </w:t>
      </w:r>
      <w:r w:rsidRPr="00EF3ECE">
        <w:t>affirmative</w:t>
      </w:r>
      <w:r>
        <w:t xml:space="preserve"> </w:t>
      </w:r>
      <w:r w:rsidRPr="00EF3ECE">
        <w:t>defense</w:t>
      </w:r>
      <w:r>
        <w:t xml:space="preserve"> </w:t>
      </w:r>
      <w:r w:rsidRPr="00EF3ECE">
        <w:t>in</w:t>
      </w:r>
      <w:r>
        <w:t xml:space="preserve"> </w:t>
      </w:r>
      <w:r w:rsidRPr="00EF3ECE">
        <w:t>a</w:t>
      </w:r>
      <w:r>
        <w:t xml:space="preserve"> </w:t>
      </w:r>
      <w:r w:rsidRPr="00EF3ECE">
        <w:t>Texas</w:t>
      </w:r>
      <w:r>
        <w:t xml:space="preserve"> </w:t>
      </w:r>
      <w:r w:rsidRPr="00EF3ECE">
        <w:t>car-crash</w:t>
      </w:r>
      <w:r>
        <w:t xml:space="preserve"> </w:t>
      </w:r>
      <w:r w:rsidRPr="00EF3ECE">
        <w:t>case</w:t>
      </w:r>
      <w:r>
        <w:t xml:space="preserve">, but </w:t>
      </w:r>
      <w:r w:rsidRPr="00EF3ECE">
        <w:t>only</w:t>
      </w:r>
      <w:r>
        <w:t xml:space="preserve"> </w:t>
      </w:r>
      <w:r w:rsidRPr="00EF3ECE">
        <w:t>because</w:t>
      </w:r>
      <w:r>
        <w:t xml:space="preserve"> </w:t>
      </w:r>
      <w:r w:rsidRPr="00EF3ECE">
        <w:t>the</w:t>
      </w:r>
      <w:r>
        <w:t xml:space="preserve"> </w:t>
      </w:r>
      <w:r w:rsidRPr="00EF3ECE">
        <w:t>plaintiffs</w:t>
      </w:r>
      <w:r>
        <w:t xml:space="preserve"> </w:t>
      </w:r>
      <w:r w:rsidRPr="00EF3ECE">
        <w:t>had</w:t>
      </w:r>
      <w:r>
        <w:t xml:space="preserve"> “</w:t>
      </w:r>
      <w:r w:rsidRPr="00EF3ECE">
        <w:t>fail[ed]</w:t>
      </w:r>
      <w:r>
        <w:t xml:space="preserve"> </w:t>
      </w:r>
      <w:r w:rsidRPr="00EF3ECE">
        <w:t>to</w:t>
      </w:r>
      <w:r>
        <w:t xml:space="preserve"> </w:t>
      </w:r>
      <w:r w:rsidRPr="00EF3ECE">
        <w:t>cite</w:t>
      </w:r>
      <w:r>
        <w:t xml:space="preserve"> </w:t>
      </w:r>
      <w:r w:rsidRPr="00EF3ECE">
        <w:t>to</w:t>
      </w:r>
      <w:r>
        <w:t xml:space="preserve"> </w:t>
      </w:r>
      <w:r w:rsidRPr="00EF3ECE">
        <w:t>any</w:t>
      </w:r>
      <w:r>
        <w:t xml:space="preserve"> </w:t>
      </w:r>
      <w:r w:rsidRPr="00EF3ECE">
        <w:t>Mexican</w:t>
      </w:r>
      <w:r>
        <w:t xml:space="preserve"> </w:t>
      </w:r>
      <w:r w:rsidRPr="00EF3ECE">
        <w:t>law</w:t>
      </w:r>
      <w:r>
        <w:t xml:space="preserve"> </w:t>
      </w:r>
      <w:r w:rsidRPr="00EF3ECE">
        <w:t>or</w:t>
      </w:r>
      <w:r>
        <w:t xml:space="preserve"> </w:t>
      </w:r>
      <w:r w:rsidRPr="00EF3ECE">
        <w:t>to</w:t>
      </w:r>
      <w:r>
        <w:t xml:space="preserve"> </w:t>
      </w:r>
      <w:r w:rsidRPr="00EF3ECE">
        <w:t>make</w:t>
      </w:r>
      <w:r>
        <w:t xml:space="preserve"> </w:t>
      </w:r>
      <w:r w:rsidRPr="00EF3ECE">
        <w:t>a</w:t>
      </w:r>
      <w:r>
        <w:t xml:space="preserve"> </w:t>
      </w:r>
      <w:r w:rsidRPr="00EF3ECE">
        <w:t>cogent</w:t>
      </w:r>
      <w:r>
        <w:t xml:space="preserve"> </w:t>
      </w:r>
      <w:r w:rsidRPr="00EF3ECE">
        <w:t>choice-of-law</w:t>
      </w:r>
      <w:r>
        <w:t xml:space="preserve"> </w:t>
      </w:r>
      <w:r w:rsidRPr="00EF3ECE">
        <w:t>argument</w:t>
      </w:r>
      <w:r>
        <w:t xml:space="preserve">” for </w:t>
      </w:r>
      <w:r w:rsidRPr="00935122">
        <w:t>doing</w:t>
      </w:r>
      <w:r>
        <w:t xml:space="preserve"> so. </w:t>
      </w:r>
      <w:r w:rsidRPr="00EF3ECE">
        <w:t>2010</w:t>
      </w:r>
      <w:r>
        <w:t xml:space="preserve"> </w:t>
      </w:r>
      <w:r w:rsidRPr="00EF3ECE">
        <w:t>WL</w:t>
      </w:r>
      <w:r>
        <w:t xml:space="preserve"> </w:t>
      </w:r>
      <w:r w:rsidRPr="00EF3ECE">
        <w:t>9546053,</w:t>
      </w:r>
      <w:r>
        <w:t xml:space="preserve"> </w:t>
      </w:r>
      <w:r w:rsidRPr="00EF3ECE">
        <w:t>at</w:t>
      </w:r>
      <w:r>
        <w:t xml:space="preserve"> </w:t>
      </w:r>
      <w:r w:rsidRPr="00EF3ECE">
        <w:t>*6</w:t>
      </w:r>
      <w:r>
        <w:t xml:space="preserve"> </w:t>
      </w:r>
      <w:r w:rsidRPr="00EF3ECE">
        <w:t>(S.D.</w:t>
      </w:r>
      <w:r>
        <w:t xml:space="preserve"> </w:t>
      </w:r>
      <w:r w:rsidRPr="00EF3ECE">
        <w:t>Tex.</w:t>
      </w:r>
      <w:r>
        <w:t xml:space="preserve"> </w:t>
      </w:r>
      <w:r w:rsidRPr="00EF3ECE">
        <w:t>Jan.</w:t>
      </w:r>
      <w:r>
        <w:t xml:space="preserve"> </w:t>
      </w:r>
      <w:r w:rsidRPr="00EF3ECE">
        <w:t>26,</w:t>
      </w:r>
      <w:r>
        <w:t xml:space="preserve"> </w:t>
      </w:r>
      <w:r w:rsidRPr="00EF3ECE">
        <w:t>2010</w:t>
      </w:r>
      <w:r w:rsidRPr="00BB14D7">
        <w:t>)</w:t>
      </w:r>
      <w:r w:rsidR="004960DE" w:rsidRPr="00BB14D7">
        <w:fldChar w:fldCharType="begin"/>
      </w:r>
      <w:r w:rsidR="004960DE" w:rsidRPr="00BB14D7">
        <w:instrText xml:space="preserve"> TA \l "</w:instrText>
      </w:r>
      <w:r w:rsidR="004960DE" w:rsidRPr="00BB14D7">
        <w:rPr>
          <w:i/>
          <w:iCs/>
        </w:rPr>
        <w:instrText>Trenado v. Cooper Tire &amp; Rubber Co.</w:instrText>
      </w:r>
      <w:r w:rsidR="004960DE" w:rsidRPr="00BB14D7">
        <w:instrText>,</w:instrText>
      </w:r>
      <w:r w:rsidR="004960DE" w:rsidRPr="00BB14D7">
        <w:br/>
        <w:instrText xml:space="preserve">2010 WL 9546053 (S.D. Tex. Jan. 26, 2010)" \s "Trenado, 2010 WL 9546053" \c 1 </w:instrText>
      </w:r>
      <w:r w:rsidR="004960DE" w:rsidRPr="00BB14D7">
        <w:fldChar w:fldCharType="end"/>
      </w:r>
      <w:r w:rsidRPr="00BB14D7">
        <w:t>. None of these cases even arguably “mandates that the same law governing the underlying claims also governs the defenses to those claims,” much less establishes “hornbook law.”</w:t>
      </w:r>
      <w:r w:rsidR="00BB14D7" w:rsidRPr="00BB14D7">
        <w:t xml:space="preserve"> Br. 47-49.</w:t>
      </w:r>
    </w:p>
  </w:footnote>
  <w:footnote w:id="5">
    <w:p w14:paraId="39A2408C" w14:textId="0AB96E94" w:rsidR="00DF4DD8" w:rsidRPr="00A457F5" w:rsidRDefault="00DF4DD8" w:rsidP="00DF4DD8">
      <w:pPr>
        <w:pStyle w:val="FootnoteText"/>
      </w:pPr>
      <w:r>
        <w:rPr>
          <w:rStyle w:val="FootnoteReference"/>
        </w:rPr>
        <w:footnoteRef/>
      </w:r>
      <w:r>
        <w:t xml:space="preserve"> </w:t>
      </w:r>
      <w:r>
        <w:rPr>
          <w:i/>
          <w:iCs/>
        </w:rPr>
        <w:t>See, e.g.</w:t>
      </w:r>
      <w:r>
        <w:t xml:space="preserve">, </w:t>
      </w:r>
      <w:r w:rsidRPr="00A457F5">
        <w:rPr>
          <w:i/>
          <w:iCs/>
        </w:rPr>
        <w:t>Doctor</w:t>
      </w:r>
      <w:r>
        <w:rPr>
          <w:i/>
          <w:iCs/>
        </w:rPr>
        <w:t>’</w:t>
      </w:r>
      <w:r w:rsidRPr="00A457F5">
        <w:rPr>
          <w:i/>
          <w:iCs/>
        </w:rPr>
        <w:t>s</w:t>
      </w:r>
      <w:r>
        <w:rPr>
          <w:i/>
          <w:iCs/>
        </w:rPr>
        <w:t xml:space="preserve"> </w:t>
      </w:r>
      <w:r w:rsidRPr="00A457F5">
        <w:rPr>
          <w:i/>
          <w:iCs/>
        </w:rPr>
        <w:t>Data,</w:t>
      </w:r>
      <w:r>
        <w:rPr>
          <w:i/>
          <w:iCs/>
        </w:rPr>
        <w:t xml:space="preserve"> </w:t>
      </w:r>
      <w:r w:rsidRPr="00A457F5">
        <w:rPr>
          <w:i/>
          <w:iCs/>
        </w:rPr>
        <w:t>Inc.</w:t>
      </w:r>
      <w:r>
        <w:rPr>
          <w:i/>
          <w:iCs/>
        </w:rPr>
        <w:t xml:space="preserve"> </w:t>
      </w:r>
      <w:r w:rsidRPr="00A457F5">
        <w:rPr>
          <w:i/>
          <w:iCs/>
        </w:rPr>
        <w:t>v.</w:t>
      </w:r>
      <w:r>
        <w:rPr>
          <w:i/>
          <w:iCs/>
        </w:rPr>
        <w:t xml:space="preserve"> </w:t>
      </w:r>
      <w:r w:rsidRPr="00A457F5">
        <w:rPr>
          <w:i/>
          <w:iCs/>
        </w:rPr>
        <w:t>Barrett</w:t>
      </w:r>
      <w:r w:rsidRPr="00A457F5">
        <w:t>,</w:t>
      </w:r>
      <w:r>
        <w:t xml:space="preserve"> </w:t>
      </w:r>
      <w:r w:rsidRPr="00A457F5">
        <w:t>170</w:t>
      </w:r>
      <w:r>
        <w:t xml:space="preserve"> </w:t>
      </w:r>
      <w:r w:rsidRPr="00A457F5">
        <w:t>F.</w:t>
      </w:r>
      <w:r>
        <w:t xml:space="preserve"> </w:t>
      </w:r>
      <w:r w:rsidRPr="00A457F5">
        <w:t>Supp.</w:t>
      </w:r>
      <w:r>
        <w:t xml:space="preserve"> </w:t>
      </w:r>
      <w:r w:rsidRPr="00A457F5">
        <w:t>3d</w:t>
      </w:r>
      <w:r>
        <w:t xml:space="preserve"> </w:t>
      </w:r>
      <w:r w:rsidRPr="00A457F5">
        <w:t>1087,</w:t>
      </w:r>
      <w:r>
        <w:t xml:space="preserve"> </w:t>
      </w:r>
      <w:r w:rsidRPr="00A457F5">
        <w:t>1107</w:t>
      </w:r>
      <w:r>
        <w:t xml:space="preserve"> </w:t>
      </w:r>
      <w:r w:rsidRPr="00A457F5">
        <w:t>(N.D.</w:t>
      </w:r>
      <w:r>
        <w:t xml:space="preserve"> </w:t>
      </w:r>
      <w:r w:rsidRPr="00A457F5">
        <w:t>Ill.</w:t>
      </w:r>
      <w:r>
        <w:t xml:space="preserve"> </w:t>
      </w:r>
      <w:r w:rsidRPr="00A457F5">
        <w:t>2016)</w:t>
      </w:r>
      <w:r w:rsidR="00CD646D">
        <w:fldChar w:fldCharType="begin"/>
      </w:r>
      <w:r w:rsidR="00CD646D">
        <w:instrText xml:space="preserve"> TA \l "</w:instrText>
      </w:r>
      <w:r w:rsidR="00CD646D" w:rsidRPr="004E2E4B">
        <w:rPr>
          <w:i/>
          <w:iCs/>
        </w:rPr>
        <w:instrText>Doctor’s Data, Inc. v. Barrett</w:instrText>
      </w:r>
      <w:r w:rsidR="00CD646D" w:rsidRPr="004E2E4B">
        <w:instrText>,</w:instrText>
      </w:r>
      <w:r w:rsidR="00CD646D" w:rsidRPr="004E2E4B">
        <w:br/>
        <w:instrText>170 F. Supp. 3d 1087 (N.D. Ill. 2016)</w:instrText>
      </w:r>
      <w:r w:rsidR="00CD646D">
        <w:instrText xml:space="preserve">" \s "Dr’s Data v. Barrett, 170 F. Supp. 3d 1087" \c 1 </w:instrText>
      </w:r>
      <w:r w:rsidR="00CD646D">
        <w:fldChar w:fldCharType="end"/>
      </w:r>
      <w:r>
        <w:t xml:space="preserve"> </w:t>
      </w:r>
      <w:r w:rsidRPr="00A457F5">
        <w:t>(</w:t>
      </w:r>
      <w:r>
        <w:t>“</w:t>
      </w:r>
      <w:r w:rsidR="00AB7BF3">
        <w:t>[A]</w:t>
      </w:r>
      <w:proofErr w:type="spellStart"/>
      <w:r w:rsidRPr="00A457F5">
        <w:t>lthough</w:t>
      </w:r>
      <w:proofErr w:type="spellEnd"/>
      <w:r>
        <w:t xml:space="preserve"> </w:t>
      </w:r>
      <w:r w:rsidRPr="00A457F5">
        <w:t>Illinois</w:t>
      </w:r>
      <w:r>
        <w:t xml:space="preserve"> </w:t>
      </w:r>
      <w:r w:rsidRPr="00A457F5">
        <w:t>law</w:t>
      </w:r>
      <w:r>
        <w:t xml:space="preserve"> </w:t>
      </w:r>
      <w:r w:rsidRPr="00A457F5">
        <w:t>governs</w:t>
      </w:r>
      <w:r>
        <w:t xml:space="preserve"> </w:t>
      </w:r>
      <w:r w:rsidRPr="00A457F5">
        <w:t>[the</w:t>
      </w:r>
      <w:r>
        <w:t xml:space="preserve"> </w:t>
      </w:r>
      <w:r w:rsidRPr="00A457F5">
        <w:t>plaintiff</w:t>
      </w:r>
      <w:r>
        <w:t>’</w:t>
      </w:r>
      <w:r w:rsidRPr="00A457F5">
        <w:t>s]</w:t>
      </w:r>
      <w:r>
        <w:t xml:space="preserve"> </w:t>
      </w:r>
      <w:r w:rsidRPr="00A457F5">
        <w:t>defamation</w:t>
      </w:r>
      <w:r>
        <w:t xml:space="preserve"> </w:t>
      </w:r>
      <w:r w:rsidRPr="00A457F5">
        <w:t>claims,</w:t>
      </w:r>
      <w:r>
        <w:t xml:space="preserve"> </w:t>
      </w:r>
      <w:r w:rsidRPr="00A457F5">
        <w:t>different</w:t>
      </w:r>
      <w:r>
        <w:t xml:space="preserve"> </w:t>
      </w:r>
      <w:r w:rsidRPr="00A457F5">
        <w:t>state</w:t>
      </w:r>
      <w:r>
        <w:t xml:space="preserve"> </w:t>
      </w:r>
      <w:r w:rsidRPr="00A457F5">
        <w:t>law</w:t>
      </w:r>
      <w:r>
        <w:t xml:space="preserve"> </w:t>
      </w:r>
      <w:r w:rsidRPr="00A457F5">
        <w:t>could</w:t>
      </w:r>
      <w:r>
        <w:t xml:space="preserve"> </w:t>
      </w:r>
      <w:r w:rsidRPr="00A457F5">
        <w:t>govern</w:t>
      </w:r>
      <w:r>
        <w:t xml:space="preserve"> </w:t>
      </w:r>
      <w:r w:rsidRPr="00A457F5">
        <w:t>the</w:t>
      </w:r>
      <w:r>
        <w:t xml:space="preserve"> </w:t>
      </w:r>
      <w:r w:rsidRPr="00A457F5">
        <w:t>defendants</w:t>
      </w:r>
      <w:r>
        <w:t xml:space="preserve">’ </w:t>
      </w:r>
      <w:r w:rsidRPr="00A457F5">
        <w:t>affirmative</w:t>
      </w:r>
      <w:r>
        <w:t xml:space="preserve"> </w:t>
      </w:r>
      <w:r w:rsidRPr="00A457F5">
        <w:t>defenses</w:t>
      </w:r>
      <w:r>
        <w:t xml:space="preserve"> </w:t>
      </w:r>
      <w:r w:rsidRPr="00A457F5">
        <w:t>to</w:t>
      </w:r>
      <w:r>
        <w:t xml:space="preserve"> </w:t>
      </w:r>
      <w:r w:rsidRPr="00A457F5">
        <w:t>those</w:t>
      </w:r>
      <w:r>
        <w:t xml:space="preserve"> </w:t>
      </w:r>
      <w:r w:rsidRPr="00A457F5">
        <w:t>claims</w:t>
      </w:r>
      <w:r>
        <w:t xml:space="preserve"> </w:t>
      </w:r>
      <w:r w:rsidRPr="00A457F5">
        <w:t>since</w:t>
      </w:r>
      <w:r>
        <w:t xml:space="preserve"> </w:t>
      </w:r>
      <w:r w:rsidRPr="00A457F5">
        <w:t>Illinois</w:t>
      </w:r>
      <w:r>
        <w:t xml:space="preserve"> </w:t>
      </w:r>
      <w:r w:rsidRPr="00A457F5">
        <w:t>courts</w:t>
      </w:r>
      <w:r>
        <w:t xml:space="preserve"> </w:t>
      </w:r>
      <w:r w:rsidRPr="00A457F5">
        <w:t>follow</w:t>
      </w:r>
      <w:r>
        <w:t xml:space="preserve"> </w:t>
      </w:r>
      <w:r w:rsidRPr="00A457F5">
        <w:t>the</w:t>
      </w:r>
      <w:r>
        <w:t xml:space="preserve"> </w:t>
      </w:r>
      <w:r w:rsidRPr="00A457F5">
        <w:t>doctrine</w:t>
      </w:r>
      <w:r>
        <w:t xml:space="preserve"> </w:t>
      </w:r>
      <w:r w:rsidRPr="00A457F5">
        <w:t>of</w:t>
      </w:r>
      <w:r>
        <w:t xml:space="preserve"> </w:t>
      </w:r>
      <w:proofErr w:type="spellStart"/>
      <w:r w:rsidRPr="00A457F5">
        <w:t>depecage</w:t>
      </w:r>
      <w:proofErr w:type="spellEnd"/>
      <w:r>
        <w:t>”</w:t>
      </w:r>
      <w:r w:rsidRPr="00A457F5">
        <w:t>);</w:t>
      </w:r>
      <w:r>
        <w:t xml:space="preserve"> </w:t>
      </w:r>
      <w:r w:rsidRPr="00A457F5">
        <w:rPr>
          <w:i/>
          <w:iCs/>
        </w:rPr>
        <w:t>CB</w:t>
      </w:r>
      <w:r>
        <w:rPr>
          <w:i/>
          <w:iCs/>
        </w:rPr>
        <w:t xml:space="preserve"> </w:t>
      </w:r>
      <w:r w:rsidRPr="00A457F5">
        <w:rPr>
          <w:i/>
          <w:iCs/>
        </w:rPr>
        <w:t>Aviation</w:t>
      </w:r>
      <w:r>
        <w:rPr>
          <w:i/>
          <w:iCs/>
        </w:rPr>
        <w:t xml:space="preserve"> </w:t>
      </w:r>
      <w:r w:rsidRPr="00A457F5">
        <w:rPr>
          <w:i/>
          <w:iCs/>
        </w:rPr>
        <w:t>v.</w:t>
      </w:r>
      <w:r>
        <w:rPr>
          <w:i/>
          <w:iCs/>
        </w:rPr>
        <w:t xml:space="preserve"> </w:t>
      </w:r>
      <w:r w:rsidRPr="00A457F5">
        <w:rPr>
          <w:i/>
          <w:iCs/>
        </w:rPr>
        <w:t>Hawker</w:t>
      </w:r>
      <w:r>
        <w:rPr>
          <w:i/>
          <w:iCs/>
        </w:rPr>
        <w:t xml:space="preserve"> </w:t>
      </w:r>
      <w:r w:rsidRPr="00A457F5">
        <w:rPr>
          <w:i/>
          <w:iCs/>
        </w:rPr>
        <w:t>Beechcraft</w:t>
      </w:r>
      <w:r>
        <w:rPr>
          <w:i/>
          <w:iCs/>
        </w:rPr>
        <w:t xml:space="preserve"> </w:t>
      </w:r>
      <w:r w:rsidRPr="00A457F5">
        <w:rPr>
          <w:i/>
          <w:iCs/>
        </w:rPr>
        <w:t>Corp.</w:t>
      </w:r>
      <w:r w:rsidRPr="00A457F5">
        <w:t>,</w:t>
      </w:r>
      <w:r>
        <w:t xml:space="preserve"> </w:t>
      </w:r>
      <w:r w:rsidRPr="00A457F5">
        <w:t>2010</w:t>
      </w:r>
      <w:r>
        <w:t xml:space="preserve"> </w:t>
      </w:r>
      <w:r w:rsidRPr="00A457F5">
        <w:t>WL</w:t>
      </w:r>
      <w:r>
        <w:t xml:space="preserve"> </w:t>
      </w:r>
      <w:r w:rsidRPr="00A457F5">
        <w:t>3221899,</w:t>
      </w:r>
      <w:r>
        <w:t xml:space="preserve"> </w:t>
      </w:r>
      <w:r w:rsidRPr="00A457F5">
        <w:t>at</w:t>
      </w:r>
      <w:r>
        <w:t xml:space="preserve"> </w:t>
      </w:r>
      <w:r w:rsidRPr="00A457F5">
        <w:t>*4</w:t>
      </w:r>
      <w:r>
        <w:t xml:space="preserve"> </w:t>
      </w:r>
      <w:r w:rsidRPr="00A457F5">
        <w:t>(E.D.</w:t>
      </w:r>
      <w:r>
        <w:t xml:space="preserve"> </w:t>
      </w:r>
      <w:r w:rsidRPr="00A457F5">
        <w:t>Pa.</w:t>
      </w:r>
      <w:r>
        <w:t xml:space="preserve"> </w:t>
      </w:r>
      <w:r w:rsidRPr="00A457F5">
        <w:t>Aug.</w:t>
      </w:r>
      <w:r>
        <w:t xml:space="preserve"> </w:t>
      </w:r>
      <w:r w:rsidRPr="00A457F5">
        <w:t>12,</w:t>
      </w:r>
      <w:r>
        <w:t xml:space="preserve"> </w:t>
      </w:r>
      <w:r w:rsidRPr="00A457F5">
        <w:t>2010)</w:t>
      </w:r>
      <w:r w:rsidR="00CD646D">
        <w:fldChar w:fldCharType="begin"/>
      </w:r>
      <w:r w:rsidR="00CD646D">
        <w:instrText xml:space="preserve"> TA \l "</w:instrText>
      </w:r>
      <w:r w:rsidR="00CD646D" w:rsidRPr="004E2E4B">
        <w:rPr>
          <w:i/>
          <w:iCs/>
        </w:rPr>
        <w:instrText>CB Aviation v. Hawker Beechcraft Corp.</w:instrText>
      </w:r>
      <w:r w:rsidR="00CD646D" w:rsidRPr="004E2E4B">
        <w:instrText>,</w:instrText>
      </w:r>
      <w:r w:rsidR="00CD646D" w:rsidRPr="004E2E4B">
        <w:br/>
        <w:instrText>2010 WL 3221899 (E.D. Pa. Aug. 12, 2010)</w:instrText>
      </w:r>
      <w:r w:rsidR="00CD646D">
        <w:instrText xml:space="preserve">" \s "CB Aviation v. Hawker, 2010 WL 3221899" \c 1 </w:instrText>
      </w:r>
      <w:r w:rsidR="00CD646D">
        <w:fldChar w:fldCharType="end"/>
      </w:r>
      <w:r>
        <w:t xml:space="preserve"> </w:t>
      </w:r>
      <w:r w:rsidRPr="00A457F5">
        <w:t>(applying</w:t>
      </w:r>
      <w:r>
        <w:t xml:space="preserve"> </w:t>
      </w:r>
      <w:r w:rsidRPr="00A457F5">
        <w:t>one</w:t>
      </w:r>
      <w:r>
        <w:t xml:space="preserve"> </w:t>
      </w:r>
      <w:r w:rsidRPr="00A457F5">
        <w:t>state</w:t>
      </w:r>
      <w:r>
        <w:t>’</w:t>
      </w:r>
      <w:r w:rsidRPr="00A457F5">
        <w:t>s</w:t>
      </w:r>
      <w:r>
        <w:t xml:space="preserve"> </w:t>
      </w:r>
      <w:r w:rsidRPr="00A457F5">
        <w:t>law</w:t>
      </w:r>
      <w:r>
        <w:t xml:space="preserve"> </w:t>
      </w:r>
      <w:r w:rsidRPr="00A457F5">
        <w:t>to</w:t>
      </w:r>
      <w:r>
        <w:t xml:space="preserve"> </w:t>
      </w:r>
      <w:r w:rsidR="00AB7BF3">
        <w:t xml:space="preserve">a </w:t>
      </w:r>
      <w:r w:rsidRPr="00A457F5">
        <w:t>contract</w:t>
      </w:r>
      <w:r>
        <w:t xml:space="preserve"> </w:t>
      </w:r>
      <w:r w:rsidRPr="00A457F5">
        <w:t>claim</w:t>
      </w:r>
      <w:r>
        <w:t xml:space="preserve"> </w:t>
      </w:r>
      <w:r w:rsidRPr="00A457F5">
        <w:t>and</w:t>
      </w:r>
      <w:r>
        <w:t xml:space="preserve"> </w:t>
      </w:r>
      <w:r w:rsidRPr="00A457F5">
        <w:t>another</w:t>
      </w:r>
      <w:r>
        <w:t>’</w:t>
      </w:r>
      <w:r w:rsidRPr="00A457F5">
        <w:t>s</w:t>
      </w:r>
      <w:r>
        <w:t xml:space="preserve"> “</w:t>
      </w:r>
      <w:r w:rsidRPr="00A457F5">
        <w:t>to</w:t>
      </w:r>
      <w:r>
        <w:t xml:space="preserve"> </w:t>
      </w:r>
      <w:r w:rsidRPr="00A457F5">
        <w:t>defendant</w:t>
      </w:r>
      <w:r>
        <w:t>’</w:t>
      </w:r>
      <w:r w:rsidRPr="00A457F5">
        <w:t>s</w:t>
      </w:r>
      <w:r>
        <w:t xml:space="preserve"> </w:t>
      </w:r>
      <w:r w:rsidRPr="00A457F5">
        <w:t>affirmative</w:t>
      </w:r>
      <w:r>
        <w:t xml:space="preserve"> </w:t>
      </w:r>
      <w:r w:rsidRPr="00A457F5">
        <w:t>defense</w:t>
      </w:r>
      <w:r>
        <w:t xml:space="preserve"> </w:t>
      </w:r>
      <w:r w:rsidRPr="00A457F5">
        <w:t>of</w:t>
      </w:r>
      <w:r>
        <w:t xml:space="preserve"> </w:t>
      </w:r>
      <w:r w:rsidRPr="00A457F5">
        <w:t>release</w:t>
      </w:r>
      <w:r>
        <w:t>”</w:t>
      </w:r>
      <w:r w:rsidRPr="00A457F5">
        <w:t>)</w:t>
      </w:r>
      <w:r w:rsidR="00066F2D">
        <w:t>.</w:t>
      </w:r>
    </w:p>
  </w:footnote>
  <w:footnote w:id="6">
    <w:p w14:paraId="209311C7" w14:textId="59598D1C" w:rsidR="00DF4DD8" w:rsidRDefault="00DF4DD8" w:rsidP="00DF4DD8">
      <w:pPr>
        <w:pStyle w:val="FootnoteText"/>
      </w:pPr>
      <w:r>
        <w:rPr>
          <w:rStyle w:val="FootnoteReference"/>
        </w:rPr>
        <w:footnoteRef/>
      </w:r>
      <w:r>
        <w:t xml:space="preserve"> The Supreme Court in </w:t>
      </w:r>
      <w:r w:rsidRPr="00150BE9">
        <w:rPr>
          <w:i/>
          <w:iCs/>
        </w:rPr>
        <w:t>Rice</w:t>
      </w:r>
      <w:r>
        <w:t xml:space="preserve"> did not, as Monsanto claims </w:t>
      </w:r>
      <w:r w:rsidRPr="007610F2">
        <w:t>(at 33-34)</w:t>
      </w:r>
      <w:r>
        <w:t xml:space="preserve">, hold that </w:t>
      </w:r>
      <w:r w:rsidRPr="00150BE9">
        <w:t xml:space="preserve">application of </w:t>
      </w:r>
      <w:r>
        <w:t xml:space="preserve">a </w:t>
      </w:r>
      <w:r w:rsidRPr="00150BE9">
        <w:t>state</w:t>
      </w:r>
      <w:r>
        <w:t>-</w:t>
      </w:r>
      <w:r w:rsidRPr="00150BE9">
        <w:t xml:space="preserve">law cause of action requires application </w:t>
      </w:r>
      <w:r w:rsidRPr="009F4262">
        <w:t xml:space="preserve">of </w:t>
      </w:r>
      <w:r>
        <w:t xml:space="preserve">the same state’s </w:t>
      </w:r>
      <w:r w:rsidRPr="009F4262">
        <w:t xml:space="preserve">statute of repose. </w:t>
      </w:r>
      <w:r>
        <w:rPr>
          <w:i/>
          <w:iCs/>
        </w:rPr>
        <w:t xml:space="preserve">Rice </w:t>
      </w:r>
      <w:r>
        <w:t xml:space="preserve">did not even identify the state law that created the cause of action. It </w:t>
      </w:r>
      <w:r w:rsidRPr="009F4262">
        <w:t>“</w:t>
      </w:r>
      <w:r w:rsidRPr="00670450">
        <w:t>merely identified one substantive conflict</w:t>
      </w:r>
      <w:r>
        <w:t xml:space="preserve">” between </w:t>
      </w:r>
      <w:r w:rsidR="0065197C">
        <w:t>Oregon’s</w:t>
      </w:r>
      <w:r>
        <w:t xml:space="preserve"> and </w:t>
      </w:r>
      <w:r w:rsidR="0065197C">
        <w:t>Washington’s</w:t>
      </w:r>
      <w:r>
        <w:t xml:space="preserve"> statutes of repose and resolved that conflict by applying Oregon’s repose period. </w:t>
      </w:r>
      <w:r w:rsidRPr="00670450">
        <w:t xml:space="preserve">Stanton, </w:t>
      </w:r>
      <w:r w:rsidRPr="00670450">
        <w:rPr>
          <w:i/>
          <w:iCs/>
        </w:rPr>
        <w:t>Implementing the Uniform Conflict of Laws-Limitations Act in Washington</w:t>
      </w:r>
      <w:r w:rsidRPr="00670450">
        <w:t>, 71 Wash. L. Rev. 871, 881 (1996)</w:t>
      </w:r>
      <w:r>
        <w:t>.</w:t>
      </w:r>
    </w:p>
  </w:footnote>
  <w:footnote w:id="7">
    <w:p w14:paraId="236AD2AF" w14:textId="69F64FC7" w:rsidR="00DF4DD8" w:rsidRDefault="00DF4DD8" w:rsidP="00D613B7">
      <w:pPr>
        <w:pStyle w:val="FootnoteText"/>
      </w:pPr>
      <w:r>
        <w:rPr>
          <w:rStyle w:val="FootnoteReference"/>
        </w:rPr>
        <w:footnoteRef/>
      </w:r>
      <w:r>
        <w:t xml:space="preserve"> “[S]</w:t>
      </w:r>
      <w:proofErr w:type="spellStart"/>
      <w:r w:rsidRPr="002D5F61">
        <w:t>tatutes</w:t>
      </w:r>
      <w:proofErr w:type="spellEnd"/>
      <w:r w:rsidRPr="002D5F61">
        <w:t xml:space="preserve"> of repose do not fall under </w:t>
      </w:r>
      <w:r>
        <w:t>[Washington’s]</w:t>
      </w:r>
      <w:r w:rsidRPr="002D5F61">
        <w:t xml:space="preserve"> statute of limitations borrowing statute</w:t>
      </w:r>
      <w:r>
        <w:t xml:space="preserve">” because they are </w:t>
      </w:r>
      <w:r w:rsidRPr="00421541">
        <w:t xml:space="preserve">“treated not as statutes of limitation, but as part of the </w:t>
      </w:r>
      <w:r w:rsidRPr="00165F5A">
        <w:t>body of a state</w:t>
      </w:r>
      <w:r w:rsidR="00A107E5">
        <w:t>’s</w:t>
      </w:r>
      <w:r w:rsidRPr="00165F5A">
        <w:t xml:space="preserve"> substantive law in making choice-of-law determinations.” </w:t>
      </w:r>
      <w:r w:rsidR="009458CA" w:rsidRPr="00165F5A">
        <w:rPr>
          <w:i/>
          <w:iCs/>
        </w:rPr>
        <w:t>Rice</w:t>
      </w:r>
      <w:r w:rsidR="009458CA" w:rsidRPr="00165F5A">
        <w:t>, 124 Wn.2d at 212</w:t>
      </w:r>
      <w:r w:rsidR="00165F5A">
        <w:fldChar w:fldCharType="begin"/>
      </w:r>
      <w:r w:rsidR="00165F5A">
        <w:instrText xml:space="preserve"> TA \s "Rice v. Dow Chem. Co., 124 Wn. 2d 205" </w:instrText>
      </w:r>
      <w:r w:rsidR="00165F5A">
        <w:fldChar w:fldCharType="end"/>
      </w:r>
      <w:r w:rsidRPr="00165F5A">
        <w:t>.</w:t>
      </w:r>
    </w:p>
  </w:footnote>
  <w:footnote w:id="8">
    <w:p w14:paraId="4B6C1F6A" w14:textId="7DEC8310" w:rsidR="00D613B7" w:rsidRDefault="00D613B7" w:rsidP="00D613B7">
      <w:pPr>
        <w:pStyle w:val="FootnoteText"/>
      </w:pPr>
      <w:r>
        <w:rPr>
          <w:rStyle w:val="FootnoteReference"/>
        </w:rPr>
        <w:footnoteRef/>
      </w:r>
      <w:r>
        <w:t xml:space="preserve"> To illustrate “</w:t>
      </w:r>
      <w:r w:rsidRPr="00700EE7">
        <w:t>the presumption that generally worded statutes enacted by their own state</w:t>
      </w:r>
      <w:r>
        <w:t>’</w:t>
      </w:r>
      <w:r w:rsidRPr="00700EE7">
        <w:t>s legislature leave room for ordinary choice-of-law analysis</w:t>
      </w:r>
      <w:r>
        <w:t xml:space="preserve">,” Professor Nelson pointed to a statute remarkably similar in structure to the WPLA’s repose provision. </w:t>
      </w:r>
      <w:r w:rsidRPr="00EA5B74">
        <w:t>80 U. Chi. L. Rev. at 668</w:t>
      </w:r>
      <w:r>
        <w:t xml:space="preserve"> (discussing a statute</w:t>
      </w:r>
      <w:r>
        <w:rPr>
          <w:i/>
          <w:iCs/>
        </w:rPr>
        <w:t xml:space="preserve"> </w:t>
      </w:r>
      <w:r>
        <w:t>providing that “[n]</w:t>
      </w:r>
      <w:r w:rsidRPr="00210367">
        <w:t xml:space="preserve">o nonprofit corporation </w:t>
      </w:r>
      <w:r w:rsidR="00EA5B74">
        <w:t>. . .</w:t>
      </w:r>
      <w:r w:rsidR="00EA5B74" w:rsidRPr="00210367">
        <w:t xml:space="preserve"> </w:t>
      </w:r>
      <w:r w:rsidRPr="00210367">
        <w:t xml:space="preserve">shall </w:t>
      </w:r>
      <w:r w:rsidR="00EA5B74">
        <w:t>. . .</w:t>
      </w:r>
      <w:r w:rsidR="00EA5B74" w:rsidRPr="00210367">
        <w:t xml:space="preserve"> </w:t>
      </w:r>
      <w:r w:rsidRPr="00210367">
        <w:t>be liable to respond in damages</w:t>
      </w:r>
      <w:r>
        <w:t>” to a member).</w:t>
      </w:r>
    </w:p>
  </w:footnote>
  <w:footnote w:id="9">
    <w:p w14:paraId="3E74D62C" w14:textId="58A82842" w:rsidR="00D613B7" w:rsidRDefault="00D613B7">
      <w:pPr>
        <w:pStyle w:val="FootnoteText"/>
      </w:pPr>
      <w:r>
        <w:rPr>
          <w:rStyle w:val="FootnoteReference"/>
        </w:rPr>
        <w:footnoteRef/>
      </w:r>
      <w:r>
        <w:t xml:space="preserve"> The statute in </w:t>
      </w:r>
      <w:r w:rsidRPr="00D12FE3">
        <w:rPr>
          <w:i/>
          <w:iCs/>
        </w:rPr>
        <w:t xml:space="preserve">Abel </w:t>
      </w:r>
      <w:r>
        <w:t xml:space="preserve">is also inapposite because it </w:t>
      </w:r>
      <w:r w:rsidRPr="003E4454">
        <w:t>contained express exceptions for when to “</w:t>
      </w:r>
      <w:proofErr w:type="spellStart"/>
      <w:r w:rsidRPr="003E4454">
        <w:t>deviat</w:t>
      </w:r>
      <w:proofErr w:type="spellEnd"/>
      <w:r w:rsidRPr="003E4454">
        <w:t>[e]” from the Washington schedule, including an exception based on the child’s residence. RCW 26.19.075(1)(d)</w:t>
      </w:r>
      <w:r>
        <w:fldChar w:fldCharType="begin"/>
      </w:r>
      <w:r>
        <w:instrText xml:space="preserve"> TA \l "</w:instrText>
      </w:r>
      <w:r w:rsidRPr="004E2E4B">
        <w:instrText>RCW 26.19.075</w:instrText>
      </w:r>
      <w:r>
        <w:instrText xml:space="preserve">" \s "RCW 26.19.075(1)(d)" \c 3 </w:instrText>
      </w:r>
      <w:r>
        <w:fldChar w:fldCharType="end"/>
      </w:r>
      <w:r w:rsidRPr="003E4454">
        <w:t xml:space="preserve">. </w:t>
      </w:r>
      <w:r>
        <w:t xml:space="preserve">And </w:t>
      </w:r>
      <w:r w:rsidRPr="003E4454">
        <w:rPr>
          <w:i/>
          <w:iCs/>
        </w:rPr>
        <w:t>Abel</w:t>
      </w:r>
      <w:r>
        <w:t xml:space="preserve"> </w:t>
      </w:r>
      <w:r w:rsidRPr="003E4454">
        <w:t xml:space="preserve">didn’t rest on the statute alone; it held that, even absent the statute, “general choice of law </w:t>
      </w:r>
      <w:r w:rsidRPr="00CC3236">
        <w:t xml:space="preserve">principles” would “weigh in favor of applying Washington law.” </w:t>
      </w:r>
      <w:r w:rsidRPr="00CC3236">
        <w:rPr>
          <w:i/>
          <w:iCs/>
        </w:rPr>
        <w:t>Abel</w:t>
      </w:r>
      <w:r w:rsidRPr="00CA2BA8">
        <w:t>,</w:t>
      </w:r>
      <w:r w:rsidRPr="00CC3236">
        <w:rPr>
          <w:i/>
          <w:iCs/>
        </w:rPr>
        <w:t xml:space="preserve"> </w:t>
      </w:r>
      <w:r w:rsidRPr="00CC3236">
        <w:t xml:space="preserve">76 </w:t>
      </w:r>
      <w:proofErr w:type="spellStart"/>
      <w:r w:rsidRPr="00CC3236">
        <w:t>Wn</w:t>
      </w:r>
      <w:proofErr w:type="spellEnd"/>
      <w:r w:rsidRPr="00CC3236">
        <w:t>. App. at 539</w:t>
      </w:r>
      <w:r>
        <w:fldChar w:fldCharType="begin"/>
      </w:r>
      <w:r>
        <w:instrText xml:space="preserve"> TA \s "Marriage of Abel, 76 Wn. App. 536" </w:instrText>
      </w:r>
      <w:r>
        <w:fldChar w:fldCharType="end"/>
      </w:r>
      <w:r w:rsidRPr="00CC3236">
        <w:t>.</w:t>
      </w:r>
    </w:p>
  </w:footnote>
  <w:footnote w:id="10">
    <w:p w14:paraId="352204D1" w14:textId="32B68DF2" w:rsidR="00D613B7" w:rsidRDefault="00D613B7">
      <w:pPr>
        <w:pStyle w:val="FootnoteText"/>
      </w:pPr>
      <w:r>
        <w:rPr>
          <w:rStyle w:val="FootnoteReference"/>
        </w:rPr>
        <w:footnoteRef/>
      </w:r>
      <w:r>
        <w:t xml:space="preserve"> </w:t>
      </w:r>
      <w:r w:rsidRPr="00B966F2">
        <w:t xml:space="preserve">Monsanto is </w:t>
      </w:r>
      <w:r w:rsidR="00CA2BA8">
        <w:t xml:space="preserve">also </w:t>
      </w:r>
      <w:r w:rsidRPr="00B966F2">
        <w:t>wrong to suggest that judgment would be entered in its favor if this Court were to conclude</w:t>
      </w:r>
      <w:r w:rsidR="000B1BDB">
        <w:t xml:space="preserve"> </w:t>
      </w:r>
      <w:r w:rsidRPr="00B966F2">
        <w:t>that Washington</w:t>
      </w:r>
      <w:r w:rsidR="000B1BDB">
        <w:t>’s</w:t>
      </w:r>
      <w:r w:rsidRPr="00B966F2">
        <w:t xml:space="preserve"> law governs the period of repose. The plaintiffs have preserved arguments that exceptions to the WPLA</w:t>
      </w:r>
      <w:r>
        <w:t>’</w:t>
      </w:r>
      <w:r w:rsidRPr="00B966F2">
        <w:t>s statute of repose would apply</w:t>
      </w:r>
      <w:r w:rsidR="000B1BDB">
        <w:t xml:space="preserve"> </w:t>
      </w:r>
      <w:r w:rsidR="0096744A">
        <w:t>regardless</w:t>
      </w:r>
      <w:r w:rsidRPr="00B966F2">
        <w:t>, and they reserve the right to present those arguments in the event of a remand</w:t>
      </w:r>
      <w:r w:rsidR="006B463D">
        <w:t xml:space="preserve">. </w:t>
      </w:r>
      <w:r w:rsidR="006B463D" w:rsidRPr="00B625F0">
        <w:t>CP 9362</w:t>
      </w:r>
      <w:r w:rsidR="000B1BDB">
        <w:t xml:space="preserve"> (noting that the issue “</w:t>
      </w:r>
      <w:r w:rsidR="000B1BDB" w:rsidRPr="000B1BDB">
        <w:t>remains outstanding"</w:t>
      </w:r>
      <w:r w:rsidR="000B1BDB">
        <w:t>)</w:t>
      </w:r>
      <w:r w:rsidR="00F51343">
        <w:t>.</w:t>
      </w:r>
    </w:p>
  </w:footnote>
  <w:footnote w:id="11">
    <w:p w14:paraId="604CAC27" w14:textId="03EEDE73" w:rsidR="007B7B36" w:rsidRDefault="007B7B36" w:rsidP="007B7B36">
      <w:pPr>
        <w:pStyle w:val="FootnoteText"/>
      </w:pPr>
      <w:r>
        <w:rPr>
          <w:rStyle w:val="FootnoteReference"/>
        </w:rPr>
        <w:footnoteRef/>
      </w:r>
      <w:r>
        <w:t xml:space="preserve"> </w:t>
      </w:r>
      <w:r w:rsidRPr="0059130B">
        <w:t xml:space="preserve">The </w:t>
      </w:r>
      <w:r w:rsidR="00D35425">
        <w:t>procedural history</w:t>
      </w:r>
      <w:r w:rsidRPr="0059130B">
        <w:t xml:space="preserve"> makes clear that Singh</w:t>
      </w:r>
      <w:r>
        <w:t>’</w:t>
      </w:r>
      <w:r w:rsidRPr="0059130B">
        <w:t>s punitive-damages award rested</w:t>
      </w:r>
      <w:r w:rsidR="00D35425">
        <w:t xml:space="preserve"> </w:t>
      </w:r>
      <w:r w:rsidR="00D35425">
        <w:rPr>
          <w:i/>
          <w:iCs/>
        </w:rPr>
        <w:t xml:space="preserve">only </w:t>
      </w:r>
      <w:r w:rsidR="00D35425">
        <w:t>on</w:t>
      </w:r>
      <w:r w:rsidRPr="0059130B">
        <w:t xml:space="preserve"> his WPLA claim. </w:t>
      </w:r>
      <w:r w:rsidR="00D35425">
        <w:t>T</w:t>
      </w:r>
      <w:r w:rsidRPr="0059130B">
        <w:t>he hospital</w:t>
      </w:r>
      <w:r w:rsidR="00D35425">
        <w:t xml:space="preserve"> </w:t>
      </w:r>
      <w:r w:rsidRPr="0059130B">
        <w:t xml:space="preserve">brought a fraud </w:t>
      </w:r>
      <w:proofErr w:type="gramStart"/>
      <w:r w:rsidR="00D35425">
        <w:t>cross-</w:t>
      </w:r>
      <w:r w:rsidRPr="0059130B">
        <w:t>claim</w:t>
      </w:r>
      <w:proofErr w:type="gramEnd"/>
      <w:r w:rsidRPr="0059130B">
        <w:t xml:space="preserve"> and received $100,000 in punitive damages. But the WPLA </w:t>
      </w:r>
      <w:r w:rsidRPr="002A40BB">
        <w:t>provided the sole foundation of Singh’s $8,350,000</w:t>
      </w:r>
      <w:r w:rsidR="00D35425">
        <w:t xml:space="preserve"> </w:t>
      </w:r>
      <w:r w:rsidRPr="002A40BB">
        <w:t xml:space="preserve">award. </w:t>
      </w:r>
      <w:r w:rsidRPr="00D35425">
        <w:rPr>
          <w:i/>
          <w:iCs/>
        </w:rPr>
        <w:t xml:space="preserve">See </w:t>
      </w:r>
      <w:r w:rsidRPr="002A40BB">
        <w:t xml:space="preserve">Amended Complaint, </w:t>
      </w:r>
      <w:r w:rsidRPr="002A40BB">
        <w:rPr>
          <w:i/>
          <w:iCs/>
        </w:rPr>
        <w:t>Singh v. Edwards Lifesciences Corp.</w:t>
      </w:r>
      <w:r w:rsidRPr="002A40BB">
        <w:t>, 2006 WL 5738344 (Wash. Super. 2006) (</w:t>
      </w:r>
      <w:r w:rsidR="00D35425">
        <w:t xml:space="preserve">asserting </w:t>
      </w:r>
      <w:r w:rsidRPr="002A40BB">
        <w:t xml:space="preserve">WPLA, CPA, and fraud claims); </w:t>
      </w:r>
      <w:r w:rsidRPr="002A40BB">
        <w:rPr>
          <w:i/>
          <w:iCs/>
        </w:rPr>
        <w:t>Singh v. Edwards Lifesciences Corp.</w:t>
      </w:r>
      <w:r w:rsidRPr="002A40BB">
        <w:t xml:space="preserve">, 2007 WL 6158356 (Wash. Super. Dec. 10, 2007) (dismissing Singh’s CPA claim); </w:t>
      </w:r>
      <w:r w:rsidRPr="002A40BB">
        <w:rPr>
          <w:i/>
          <w:iCs/>
        </w:rPr>
        <w:t>Singh v. Edwards Lifesciences Corp.</w:t>
      </w:r>
      <w:r w:rsidRPr="002A40BB">
        <w:t>, 2007 WL 5222379 (Wash. Super. Nov. 01, 2007) (dismissing Singh’s fraud claim).</w:t>
      </w:r>
    </w:p>
  </w:footnote>
  <w:footnote w:id="12">
    <w:p w14:paraId="54214330" w14:textId="0D1ED67B" w:rsidR="00DF4DD8" w:rsidRPr="00E142EF" w:rsidRDefault="00DF4DD8" w:rsidP="00DF4DD8">
      <w:pPr>
        <w:pStyle w:val="FootnoteText"/>
      </w:pPr>
      <w:r>
        <w:rPr>
          <w:rStyle w:val="FootnoteReference"/>
        </w:rPr>
        <w:footnoteRef/>
      </w:r>
      <w:r>
        <w:t xml:space="preserve"> Nor does it help Monsanto that the</w:t>
      </w:r>
      <w:r w:rsidR="00DE4B15">
        <w:t xml:space="preserve"> statute</w:t>
      </w:r>
      <w:r>
        <w:t xml:space="preserve"> defines </w:t>
      </w:r>
      <w:r w:rsidRPr="004754C4">
        <w:t>“harm” as “damages recognized by the courts of this state.”</w:t>
      </w:r>
      <w:r>
        <w:rPr>
          <w:i/>
          <w:iCs/>
        </w:rPr>
        <w:t xml:space="preserve"> </w:t>
      </w:r>
      <w:r w:rsidR="00C146A9" w:rsidRPr="00C146A9">
        <w:t>RCW §</w:t>
      </w:r>
      <w:r w:rsidR="00E47F39">
        <w:t xml:space="preserve"> </w:t>
      </w:r>
      <w:r w:rsidR="00C146A9" w:rsidRPr="00C146A9">
        <w:t>7.72.010</w:t>
      </w:r>
      <w:r w:rsidR="00C146A9">
        <w:t>(</w:t>
      </w:r>
      <w:r w:rsidR="00EC6F37">
        <w:t>6</w:t>
      </w:r>
      <w:r w:rsidR="00C146A9">
        <w:t>)</w:t>
      </w:r>
      <w:r w:rsidR="009706D6">
        <w:fldChar w:fldCharType="begin"/>
      </w:r>
      <w:r w:rsidR="009706D6">
        <w:instrText xml:space="preserve"> TA \s "RCW § 7.72.010" </w:instrText>
      </w:r>
      <w:r w:rsidR="009706D6">
        <w:fldChar w:fldCharType="end"/>
      </w:r>
      <w:r w:rsidR="00C146A9" w:rsidRPr="00C146A9">
        <w:t>.</w:t>
      </w:r>
      <w:r w:rsidR="00C146A9">
        <w:rPr>
          <w:i/>
          <w:iCs/>
        </w:rPr>
        <w:t xml:space="preserve"> </w:t>
      </w:r>
      <w:r w:rsidRPr="004754C4">
        <w:t>The history makes clear that</w:t>
      </w:r>
      <w:r>
        <w:t xml:space="preserve"> </w:t>
      </w:r>
      <w:r w:rsidRPr="00CA0124">
        <w:t>the</w:t>
      </w:r>
      <w:r>
        <w:t xml:space="preserve"> </w:t>
      </w:r>
      <w:r w:rsidRPr="00CA0124">
        <w:t>legislature</w:t>
      </w:r>
      <w:r>
        <w:t xml:space="preserve"> </w:t>
      </w:r>
      <w:r w:rsidR="00C146A9" w:rsidRPr="002A40BB">
        <w:t>intended</w:t>
      </w:r>
      <w:r w:rsidRPr="002A40BB">
        <w:t xml:space="preserve"> th</w:t>
      </w:r>
      <w:r w:rsidR="001B75B8">
        <w:t>is</w:t>
      </w:r>
      <w:r w:rsidRPr="002A40BB">
        <w:t xml:space="preserve"> language not to direct choice of law, but to “</w:t>
      </w:r>
      <w:proofErr w:type="gramStart"/>
      <w:r w:rsidRPr="002A40BB">
        <w:t>allow[</w:t>
      </w:r>
      <w:proofErr w:type="gramEnd"/>
      <w:r w:rsidRPr="002A40BB">
        <w:t xml:space="preserve">] for the continued development of the concept through case law.” </w:t>
      </w:r>
      <w:r w:rsidR="00EC6F37" w:rsidRPr="002A40BB">
        <w:rPr>
          <w:i/>
          <w:iCs/>
        </w:rPr>
        <w:t xml:space="preserve">Physicians Ins. Exch. v. </w:t>
      </w:r>
      <w:proofErr w:type="spellStart"/>
      <w:r w:rsidR="00EC6F37" w:rsidRPr="002A40BB">
        <w:rPr>
          <w:i/>
          <w:iCs/>
        </w:rPr>
        <w:t>Fisons</w:t>
      </w:r>
      <w:proofErr w:type="spellEnd"/>
      <w:r w:rsidR="00EC6F37" w:rsidRPr="002A40BB">
        <w:rPr>
          <w:i/>
          <w:iCs/>
        </w:rPr>
        <w:t xml:space="preserve"> Corp.</w:t>
      </w:r>
      <w:r w:rsidR="00EC6F37" w:rsidRPr="002A40BB">
        <w:t>, 122 Wn.2d 299, 320, 858 P.2d 1054 (1993)</w:t>
      </w:r>
      <w:r w:rsidR="009706D6">
        <w:fldChar w:fldCharType="begin"/>
      </w:r>
      <w:r w:rsidR="009706D6">
        <w:instrText xml:space="preserve"> TA \l "</w:instrText>
      </w:r>
      <w:r w:rsidR="009706D6" w:rsidRPr="004E2E4B">
        <w:rPr>
          <w:i/>
          <w:iCs/>
        </w:rPr>
        <w:instrText>Physicians Insurance Exchange v. Fisons Corp.</w:instrText>
      </w:r>
      <w:r w:rsidR="009706D6" w:rsidRPr="004E2E4B">
        <w:instrText>,</w:instrText>
      </w:r>
      <w:r w:rsidR="009706D6" w:rsidRPr="004E2E4B">
        <w:br/>
        <w:instrText>122 Wn. 2d 299, 858 P.2d 1054 (1993)</w:instrText>
      </w:r>
      <w:r w:rsidR="009706D6">
        <w:instrText xml:space="preserve">" \s "Physicians v. Fisons, 122 Wn. 2d 299" \c 1 </w:instrText>
      </w:r>
      <w:r w:rsidR="009706D6">
        <w:fldChar w:fldCharType="end"/>
      </w:r>
      <w:r w:rsidR="00EC6F37" w:rsidRPr="002A40BB">
        <w:t>.</w:t>
      </w:r>
      <w:r w:rsidRPr="002A40BB">
        <w:t xml:space="preserve"> The</w:t>
      </w:r>
      <w:r>
        <w:t xml:space="preserve"> </w:t>
      </w:r>
      <w:r w:rsidR="00C146A9">
        <w:t>statute</w:t>
      </w:r>
      <w:r>
        <w:t xml:space="preserve"> </w:t>
      </w:r>
      <w:r w:rsidRPr="00CA0124">
        <w:t>defines</w:t>
      </w:r>
      <w:r>
        <w:t xml:space="preserve"> “</w:t>
      </w:r>
      <w:r w:rsidRPr="00CA0124">
        <w:t>harm</w:t>
      </w:r>
      <w:r>
        <w:t xml:space="preserve">” </w:t>
      </w:r>
      <w:r w:rsidRPr="00CA0124">
        <w:t>under</w:t>
      </w:r>
      <w:r>
        <w:t xml:space="preserve"> </w:t>
      </w:r>
      <w:r w:rsidRPr="00F63F7D">
        <w:rPr>
          <w:i/>
          <w:iCs/>
        </w:rPr>
        <w:t>Washington</w:t>
      </w:r>
      <w:r>
        <w:t xml:space="preserve"> </w:t>
      </w:r>
      <w:r w:rsidRPr="00CA0124">
        <w:t>law</w:t>
      </w:r>
      <w:r>
        <w:t xml:space="preserve"> </w:t>
      </w:r>
      <w:r w:rsidRPr="00CA0124">
        <w:t>to</w:t>
      </w:r>
      <w:r>
        <w:t xml:space="preserve"> </w:t>
      </w:r>
      <w:r w:rsidRPr="00CA0124">
        <w:t>incorporate</w:t>
      </w:r>
      <w:r>
        <w:t xml:space="preserve"> </w:t>
      </w:r>
      <w:r w:rsidRPr="00CA0124">
        <w:t>decisions</w:t>
      </w:r>
      <w:r>
        <w:t xml:space="preserve"> </w:t>
      </w:r>
      <w:r w:rsidRPr="00CA0124">
        <w:t>of</w:t>
      </w:r>
      <w:r>
        <w:t xml:space="preserve"> “</w:t>
      </w:r>
      <w:r w:rsidRPr="00CA0124">
        <w:t>courts</w:t>
      </w:r>
      <w:r>
        <w:t xml:space="preserve"> </w:t>
      </w:r>
      <w:r w:rsidRPr="00CA0124">
        <w:t>of</w:t>
      </w:r>
      <w:r>
        <w:t xml:space="preserve"> </w:t>
      </w:r>
      <w:r w:rsidRPr="00CA0124">
        <w:t>the</w:t>
      </w:r>
      <w:r>
        <w:t xml:space="preserve"> </w:t>
      </w:r>
      <w:r w:rsidRPr="00CA0124">
        <w:t>state.</w:t>
      </w:r>
      <w:r>
        <w:t>” But again, that</w:t>
      </w:r>
      <w:r w:rsidR="00C146A9">
        <w:t>’</w:t>
      </w:r>
      <w:r>
        <w:t>s a substantive rule of state la</w:t>
      </w:r>
      <w:r w:rsidR="00C146A9">
        <w:t>w; it</w:t>
      </w:r>
      <w:r>
        <w:t xml:space="preserve"> doesn</w:t>
      </w:r>
      <w:r w:rsidR="00C146A9">
        <w:t>’</w:t>
      </w:r>
      <w:r>
        <w:t xml:space="preserve">t direct that the law be applied extraterritorially to citizens of other </w:t>
      </w:r>
      <w:r w:rsidR="00C146A9">
        <w:t xml:space="preserve">states </w:t>
      </w:r>
      <w:r>
        <w:t>whose state law provides a different rule</w:t>
      </w:r>
      <w:r w:rsidR="00C146A9">
        <w:t xml:space="preserve">. </w:t>
      </w:r>
      <w:r w:rsidR="00D83B07">
        <w:t>I</w:t>
      </w:r>
      <w:r w:rsidR="00C146A9">
        <w:t>t</w:t>
      </w:r>
      <w:r>
        <w:t xml:space="preserve"> </w:t>
      </w:r>
      <w:r w:rsidRPr="00CA0124">
        <w:t>doesn</w:t>
      </w:r>
      <w:r w:rsidR="00C146A9">
        <w:t>’</w:t>
      </w:r>
      <w:r w:rsidRPr="00CA0124">
        <w:t>t</w:t>
      </w:r>
      <w:r>
        <w:t xml:space="preserve"> </w:t>
      </w:r>
      <w:r w:rsidRPr="00CA0124">
        <w:t>mandate</w:t>
      </w:r>
      <w:r>
        <w:t xml:space="preserve"> </w:t>
      </w:r>
      <w:r w:rsidRPr="00CA0124">
        <w:t>that</w:t>
      </w:r>
      <w:r>
        <w:t xml:space="preserve"> </w:t>
      </w:r>
      <w:r w:rsidRPr="00CA0124">
        <w:t>this</w:t>
      </w:r>
      <w:r>
        <w:t xml:space="preserve"> </w:t>
      </w:r>
      <w:r w:rsidRPr="00CA0124">
        <w:t>definition</w:t>
      </w:r>
      <w:r>
        <w:t xml:space="preserve"> </w:t>
      </w:r>
      <w:r w:rsidRPr="00CA0124">
        <w:t>apply</w:t>
      </w:r>
      <w:r>
        <w:t xml:space="preserve"> </w:t>
      </w:r>
      <w:r w:rsidRPr="00D83B07">
        <w:t>“</w:t>
      </w:r>
      <w:r w:rsidRPr="00D83B07">
        <w:rPr>
          <w:i/>
          <w:iCs/>
        </w:rPr>
        <w:t>regardless of the domicile</w:t>
      </w:r>
      <w:r w:rsidRPr="00D83B07">
        <w:t xml:space="preserve">” </w:t>
      </w:r>
      <w:r w:rsidRPr="00CA0124">
        <w:t>of</w:t>
      </w:r>
      <w:r>
        <w:t xml:space="preserve"> </w:t>
      </w:r>
      <w:r w:rsidRPr="00CA0124">
        <w:t>the</w:t>
      </w:r>
      <w:r>
        <w:t xml:space="preserve"> </w:t>
      </w:r>
      <w:r w:rsidRPr="00CA0124">
        <w:t>defendant.</w:t>
      </w:r>
      <w:r>
        <w:rPr>
          <w:i/>
          <w:iCs/>
        </w:rPr>
        <w:t xml:space="preserve"> </w:t>
      </w:r>
      <w:r w:rsidRPr="00CA0124">
        <w:rPr>
          <w:i/>
          <w:iCs/>
        </w:rPr>
        <w:t>Cairns</w:t>
      </w:r>
      <w:r w:rsidRPr="00CA0124">
        <w:t>,</w:t>
      </w:r>
      <w:r>
        <w:t xml:space="preserve"> </w:t>
      </w:r>
      <w:r w:rsidRPr="00CA0124">
        <w:t>292</w:t>
      </w:r>
      <w:r>
        <w:t xml:space="preserve"> </w:t>
      </w:r>
      <w:r w:rsidRPr="00CA0124">
        <w:t>F.3d</w:t>
      </w:r>
      <w:r>
        <w:t xml:space="preserve"> at </w:t>
      </w:r>
      <w:r w:rsidRPr="00CA0124">
        <w:t>1147</w:t>
      </w:r>
      <w:r w:rsidR="00741447">
        <w:t xml:space="preserve">. </w:t>
      </w:r>
    </w:p>
  </w:footnote>
  <w:footnote w:id="13">
    <w:p w14:paraId="1B1B6A72" w14:textId="07C3FCCB" w:rsidR="00DF4DD8" w:rsidRDefault="00DF4DD8" w:rsidP="00DF4DD8">
      <w:pPr>
        <w:pStyle w:val="FootnoteText"/>
      </w:pPr>
      <w:r>
        <w:rPr>
          <w:rStyle w:val="FootnoteReference"/>
        </w:rPr>
        <w:footnoteRef/>
      </w:r>
      <w:r>
        <w:t xml:space="preserve"> </w:t>
      </w:r>
      <w:r w:rsidRPr="00FF00F4">
        <w:t>Monsanto</w:t>
      </w:r>
      <w:r>
        <w:t xml:space="preserve"> </w:t>
      </w:r>
      <w:r w:rsidRPr="00FF00F4">
        <w:t>also</w:t>
      </w:r>
      <w:r>
        <w:t xml:space="preserve"> </w:t>
      </w:r>
      <w:r w:rsidRPr="00A3049E">
        <w:t>argues</w:t>
      </w:r>
      <w:r>
        <w:t xml:space="preserve"> </w:t>
      </w:r>
      <w:r w:rsidRPr="00FF00F4">
        <w:t>that</w:t>
      </w:r>
      <w:r>
        <w:t xml:space="preserve"> </w:t>
      </w:r>
      <w:r w:rsidRPr="00FF00F4">
        <w:t>Missouri</w:t>
      </w:r>
      <w:r>
        <w:t xml:space="preserve"> </w:t>
      </w:r>
      <w:r w:rsidRPr="00FF00F4">
        <w:t>imposes</w:t>
      </w:r>
      <w:r>
        <w:t xml:space="preserve"> </w:t>
      </w:r>
      <w:r w:rsidRPr="00FF00F4">
        <w:t>certain</w:t>
      </w:r>
      <w:r>
        <w:t xml:space="preserve"> </w:t>
      </w:r>
      <w:r w:rsidRPr="00FF00F4">
        <w:t>procedural</w:t>
      </w:r>
      <w:r>
        <w:t xml:space="preserve"> </w:t>
      </w:r>
      <w:r w:rsidRPr="00FF00F4">
        <w:t>requirements</w:t>
      </w:r>
      <w:r>
        <w:t xml:space="preserve"> </w:t>
      </w:r>
      <w:r w:rsidRPr="00FF00F4">
        <w:t>on</w:t>
      </w:r>
      <w:r>
        <w:t xml:space="preserve"> </w:t>
      </w:r>
      <w:r w:rsidRPr="00FF00F4">
        <w:t>punitive</w:t>
      </w:r>
      <w:r w:rsidR="00DE4B15">
        <w:t>-</w:t>
      </w:r>
      <w:r w:rsidRPr="00FF00F4">
        <w:t>damages</w:t>
      </w:r>
      <w:r>
        <w:t xml:space="preserve"> </w:t>
      </w:r>
      <w:r w:rsidR="00DE4B15">
        <w:t xml:space="preserve">awards </w:t>
      </w:r>
      <w:r w:rsidRPr="00FF00F4">
        <w:t>that</w:t>
      </w:r>
      <w:r>
        <w:t xml:space="preserve"> </w:t>
      </w:r>
      <w:r w:rsidRPr="00FF00F4">
        <w:t>are</w:t>
      </w:r>
      <w:r>
        <w:t xml:space="preserve"> </w:t>
      </w:r>
      <w:r w:rsidRPr="00FF00F4">
        <w:t>absent</w:t>
      </w:r>
      <w:r>
        <w:t xml:space="preserve"> </w:t>
      </w:r>
      <w:r w:rsidRPr="00FF00F4">
        <w:t>under</w:t>
      </w:r>
      <w:r>
        <w:t xml:space="preserve"> </w:t>
      </w:r>
      <w:r w:rsidRPr="00FF00F4">
        <w:t>Washington</w:t>
      </w:r>
      <w:r>
        <w:t xml:space="preserve"> </w:t>
      </w:r>
      <w:r w:rsidRPr="00FF00F4">
        <w:t>law.</w:t>
      </w:r>
      <w:r>
        <w:t xml:space="preserve"> </w:t>
      </w:r>
      <w:r w:rsidRPr="00FF00F4">
        <w:t>But</w:t>
      </w:r>
      <w:r>
        <w:t xml:space="preserve"> </w:t>
      </w:r>
      <w:r w:rsidRPr="00FF00F4">
        <w:t>in</w:t>
      </w:r>
      <w:r>
        <w:t xml:space="preserve"> mandating </w:t>
      </w:r>
      <w:r w:rsidRPr="00FF00F4">
        <w:t>those</w:t>
      </w:r>
      <w:r>
        <w:t xml:space="preserve"> </w:t>
      </w:r>
      <w:r w:rsidRPr="00FF00F4">
        <w:t>requirements</w:t>
      </w:r>
      <w:r>
        <w:t xml:space="preserve"> </w:t>
      </w:r>
      <w:r w:rsidRPr="00FF00F4">
        <w:t>in</w:t>
      </w:r>
      <w:r>
        <w:t xml:space="preserve"> </w:t>
      </w:r>
      <w:r w:rsidRPr="00FF00F4">
        <w:t>2020,</w:t>
      </w:r>
      <w:r>
        <w:t xml:space="preserve"> </w:t>
      </w:r>
      <w:r w:rsidRPr="00FF00F4">
        <w:t>Missouri</w:t>
      </w:r>
      <w:r>
        <w:t>’</w:t>
      </w:r>
      <w:r w:rsidRPr="00FF00F4">
        <w:t>s</w:t>
      </w:r>
      <w:r>
        <w:t xml:space="preserve"> “</w:t>
      </w:r>
      <w:r w:rsidRPr="00FF00F4">
        <w:t>legislature</w:t>
      </w:r>
      <w:r>
        <w:t xml:space="preserve"> </w:t>
      </w:r>
      <w:r w:rsidRPr="00FF00F4">
        <w:t>expressly</w:t>
      </w:r>
      <w:r>
        <w:t xml:space="preserve"> </w:t>
      </w:r>
      <w:r w:rsidRPr="00935122">
        <w:t>stated</w:t>
      </w:r>
      <w:r>
        <w:t xml:space="preserve"> </w:t>
      </w:r>
      <w:r w:rsidRPr="00FF00F4">
        <w:t>that</w:t>
      </w:r>
      <w:r>
        <w:t xml:space="preserve"> </w:t>
      </w:r>
      <w:r w:rsidRPr="00FF00F4">
        <w:t>the</w:t>
      </w:r>
      <w:r>
        <w:t xml:space="preserve"> </w:t>
      </w:r>
      <w:r w:rsidRPr="00FF00F4">
        <w:t>provisions</w:t>
      </w:r>
      <w:r>
        <w:t xml:space="preserve"> </w:t>
      </w:r>
      <w:r w:rsidRPr="00FF00F4">
        <w:t>of</w:t>
      </w:r>
      <w:r>
        <w:t xml:space="preserve"> </w:t>
      </w:r>
      <w:r w:rsidRPr="00FF00F4">
        <w:t>this</w:t>
      </w:r>
      <w:r>
        <w:t xml:space="preserve"> </w:t>
      </w:r>
      <w:r w:rsidRPr="00FF00F4">
        <w:t>act</w:t>
      </w:r>
      <w:r>
        <w:t xml:space="preserve"> </w:t>
      </w:r>
      <w:r w:rsidRPr="00FF00F4">
        <w:t>shall</w:t>
      </w:r>
      <w:r>
        <w:t xml:space="preserve"> </w:t>
      </w:r>
      <w:r w:rsidRPr="00FF00F4">
        <w:t>apply</w:t>
      </w:r>
      <w:r>
        <w:t xml:space="preserve"> </w:t>
      </w:r>
      <w:r w:rsidRPr="00FF00F4">
        <w:t>to</w:t>
      </w:r>
      <w:r>
        <w:t xml:space="preserve"> </w:t>
      </w:r>
      <w:r w:rsidRPr="00FF00F4">
        <w:t>causes</w:t>
      </w:r>
      <w:r>
        <w:t xml:space="preserve"> </w:t>
      </w:r>
      <w:r w:rsidRPr="00FF00F4">
        <w:t>of</w:t>
      </w:r>
      <w:r>
        <w:t xml:space="preserve"> </w:t>
      </w:r>
      <w:r w:rsidRPr="00FF00F4">
        <w:t>action</w:t>
      </w:r>
      <w:r>
        <w:t xml:space="preserve"> </w:t>
      </w:r>
      <w:r w:rsidRPr="00FF00F4">
        <w:t>filed</w:t>
      </w:r>
      <w:r>
        <w:t xml:space="preserve"> </w:t>
      </w:r>
      <w:r w:rsidRPr="00FF00F4">
        <w:t>on</w:t>
      </w:r>
      <w:r>
        <w:t xml:space="preserve"> </w:t>
      </w:r>
      <w:r w:rsidRPr="00FF00F4">
        <w:t>or</w:t>
      </w:r>
      <w:r>
        <w:t xml:space="preserve"> </w:t>
      </w:r>
      <w:r w:rsidRPr="00FF00F4">
        <w:t>after</w:t>
      </w:r>
      <w:r>
        <w:t xml:space="preserve"> </w:t>
      </w:r>
      <w:r w:rsidRPr="00FF00F4">
        <w:t>August</w:t>
      </w:r>
      <w:r>
        <w:t xml:space="preserve"> </w:t>
      </w:r>
      <w:r w:rsidRPr="00FF00F4">
        <w:t>28,</w:t>
      </w:r>
      <w:r>
        <w:t xml:space="preserve"> </w:t>
      </w:r>
      <w:r w:rsidRPr="00FF00F4">
        <w:t>2020.</w:t>
      </w:r>
      <w:r>
        <w:t xml:space="preserve">” </w:t>
      </w:r>
      <w:r w:rsidRPr="00FF00F4">
        <w:rPr>
          <w:i/>
          <w:iCs/>
        </w:rPr>
        <w:t>Largent</w:t>
      </w:r>
      <w:r>
        <w:rPr>
          <w:i/>
          <w:iCs/>
        </w:rPr>
        <w:t xml:space="preserve"> </w:t>
      </w:r>
      <w:r w:rsidRPr="00FF00F4">
        <w:rPr>
          <w:i/>
          <w:iCs/>
        </w:rPr>
        <w:t>v.</w:t>
      </w:r>
      <w:r>
        <w:rPr>
          <w:i/>
          <w:iCs/>
        </w:rPr>
        <w:t xml:space="preserve"> </w:t>
      </w:r>
      <w:proofErr w:type="spellStart"/>
      <w:r w:rsidRPr="00FF00F4">
        <w:rPr>
          <w:i/>
          <w:iCs/>
        </w:rPr>
        <w:t>Pelikan</w:t>
      </w:r>
      <w:proofErr w:type="spellEnd"/>
      <w:r w:rsidRPr="00FF00F4">
        <w:t>,</w:t>
      </w:r>
      <w:r>
        <w:t xml:space="preserve"> </w:t>
      </w:r>
      <w:r w:rsidRPr="00FF00F4">
        <w:t>628</w:t>
      </w:r>
      <w:r>
        <w:t xml:space="preserve"> </w:t>
      </w:r>
      <w:r w:rsidRPr="00FF00F4">
        <w:t>S.W.3d</w:t>
      </w:r>
      <w:r>
        <w:t xml:space="preserve"> </w:t>
      </w:r>
      <w:r w:rsidRPr="00FF00F4">
        <w:t>162,</w:t>
      </w:r>
      <w:r>
        <w:t xml:space="preserve"> </w:t>
      </w:r>
      <w:r w:rsidRPr="00FF00F4">
        <w:t>165</w:t>
      </w:r>
      <w:r>
        <w:t xml:space="preserve"> </w:t>
      </w:r>
      <w:r w:rsidRPr="00FF00F4">
        <w:t>(Mo.</w:t>
      </w:r>
      <w:r>
        <w:t xml:space="preserve"> </w:t>
      </w:r>
      <w:r w:rsidRPr="00FF00F4">
        <w:t>Ct.</w:t>
      </w:r>
      <w:r>
        <w:t xml:space="preserve"> </w:t>
      </w:r>
      <w:r w:rsidRPr="00FF00F4">
        <w:t>App.</w:t>
      </w:r>
      <w:r>
        <w:t xml:space="preserve"> </w:t>
      </w:r>
      <w:r w:rsidRPr="00FF00F4">
        <w:t>2021)</w:t>
      </w:r>
      <w:r w:rsidR="008E0DAF">
        <w:fldChar w:fldCharType="begin"/>
      </w:r>
      <w:r w:rsidR="008E0DAF">
        <w:instrText xml:space="preserve"> TA \l "</w:instrText>
      </w:r>
      <w:r w:rsidR="008E0DAF" w:rsidRPr="004E2E4B">
        <w:rPr>
          <w:i/>
          <w:iCs/>
        </w:rPr>
        <w:instrText>Largent v. Pelikan</w:instrText>
      </w:r>
      <w:r w:rsidR="008E0DAF" w:rsidRPr="004E2E4B">
        <w:instrText>,</w:instrText>
      </w:r>
      <w:r w:rsidR="008E0DAF" w:rsidRPr="004E2E4B">
        <w:br/>
        <w:instrText>628 S.W.3d 162 (Mo. Ct. App. 2021)</w:instrText>
      </w:r>
      <w:r w:rsidR="008E0DAF">
        <w:instrText xml:space="preserve">" \s "Largent v. Pelikan, 628 S.W.3d 162" \c 1 </w:instrText>
      </w:r>
      <w:r w:rsidR="008E0DAF">
        <w:fldChar w:fldCharType="end"/>
      </w:r>
      <w:r>
        <w:t xml:space="preserve"> </w:t>
      </w:r>
      <w:r w:rsidRPr="00FF00F4">
        <w:t>(quoting</w:t>
      </w:r>
      <w:r>
        <w:t xml:space="preserve"> </w:t>
      </w:r>
      <w:r w:rsidRPr="00FF00F4">
        <w:t>Mo.</w:t>
      </w:r>
      <w:r>
        <w:t xml:space="preserve"> </w:t>
      </w:r>
      <w:r w:rsidRPr="00FF00F4">
        <w:t>Rev.</w:t>
      </w:r>
      <w:r>
        <w:t xml:space="preserve"> </w:t>
      </w:r>
      <w:r w:rsidRPr="00FF00F4">
        <w:t>Stat.</w:t>
      </w:r>
      <w:r>
        <w:t xml:space="preserve"> </w:t>
      </w:r>
      <w:r w:rsidRPr="00FF00F4">
        <w:t>§</w:t>
      </w:r>
      <w:r>
        <w:t xml:space="preserve"> </w:t>
      </w:r>
      <w:r w:rsidRPr="00FF00F4">
        <w:t>510.262).</w:t>
      </w:r>
      <w:r>
        <w:t xml:space="preserve"> </w:t>
      </w:r>
      <w:r w:rsidRPr="00FF00F4">
        <w:t>As</w:t>
      </w:r>
      <w:r>
        <w:t xml:space="preserve"> </w:t>
      </w:r>
      <w:r w:rsidRPr="00FF00F4">
        <w:t>Monsanto</w:t>
      </w:r>
      <w:r>
        <w:t xml:space="preserve"> </w:t>
      </w:r>
      <w:r w:rsidRPr="00FF00F4">
        <w:t>appears</w:t>
      </w:r>
      <w:r>
        <w:t xml:space="preserve"> </w:t>
      </w:r>
      <w:r w:rsidRPr="00FF00F4">
        <w:t>to</w:t>
      </w:r>
      <w:r>
        <w:t xml:space="preserve"> </w:t>
      </w:r>
      <w:r w:rsidRPr="00FF00F4">
        <w:t>recognize,</w:t>
      </w:r>
      <w:r>
        <w:t xml:space="preserve"> those </w:t>
      </w:r>
      <w:r w:rsidRPr="00FF00F4">
        <w:t>requirements</w:t>
      </w:r>
      <w:r>
        <w:t xml:space="preserve"> </w:t>
      </w:r>
      <w:r w:rsidRPr="00FF00F4">
        <w:t>would</w:t>
      </w:r>
      <w:r>
        <w:t xml:space="preserve"> </w:t>
      </w:r>
      <w:r w:rsidRPr="00FF00F4">
        <w:t>not</w:t>
      </w:r>
      <w:r>
        <w:t xml:space="preserve"> </w:t>
      </w:r>
      <w:r w:rsidRPr="00FF00F4">
        <w:t>apply</w:t>
      </w:r>
      <w:r>
        <w:t xml:space="preserve"> </w:t>
      </w:r>
      <w:r w:rsidRPr="00FF00F4">
        <w:t>to</w:t>
      </w:r>
      <w:r>
        <w:t xml:space="preserve"> </w:t>
      </w:r>
      <w:r w:rsidRPr="00FF00F4">
        <w:t>this</w:t>
      </w:r>
      <w:r>
        <w:t xml:space="preserve"> </w:t>
      </w:r>
      <w:r w:rsidRPr="00FF00F4">
        <w:t>case</w:t>
      </w:r>
      <w:r>
        <w:t xml:space="preserve"> even under Missouri </w:t>
      </w:r>
      <w:r w:rsidRPr="00FF00F4">
        <w:t>law.</w:t>
      </w:r>
      <w:r>
        <w:t xml:space="preserve"> </w:t>
      </w:r>
      <w:r w:rsidRPr="00FF00F4">
        <w:t>A</w:t>
      </w:r>
      <w:r w:rsidR="00617BA8">
        <w:t>t any rate</w:t>
      </w:r>
      <w:r w:rsidRPr="00FF00F4">
        <w:t>,</w:t>
      </w:r>
      <w:r>
        <w:t xml:space="preserve"> </w:t>
      </w:r>
      <w:r w:rsidRPr="00FF00F4">
        <w:t>Monsanto</w:t>
      </w:r>
      <w:r>
        <w:t xml:space="preserve"> </w:t>
      </w:r>
      <w:r w:rsidRPr="00FF00F4">
        <w:t>doe</w:t>
      </w:r>
      <w:r w:rsidR="00DE4B15">
        <w:t>s</w:t>
      </w:r>
      <w:r w:rsidRPr="00FF00F4">
        <w:t>n</w:t>
      </w:r>
      <w:r w:rsidR="00DE4B15">
        <w:t>’</w:t>
      </w:r>
      <w:r w:rsidRPr="00FF00F4">
        <w:t>t</w:t>
      </w:r>
      <w:r>
        <w:t xml:space="preserve"> </w:t>
      </w:r>
      <w:r w:rsidRPr="00FF00F4">
        <w:t>argue</w:t>
      </w:r>
      <w:r>
        <w:t xml:space="preserve"> </w:t>
      </w:r>
      <w:r w:rsidRPr="00FF00F4">
        <w:t>that</w:t>
      </w:r>
      <w:r>
        <w:t xml:space="preserve"> </w:t>
      </w:r>
      <w:r w:rsidRPr="00FF00F4">
        <w:t>it</w:t>
      </w:r>
      <w:r>
        <w:t xml:space="preserve"> </w:t>
      </w:r>
      <w:r w:rsidRPr="00FF00F4">
        <w:t>was</w:t>
      </w:r>
      <w:r>
        <w:t xml:space="preserve"> </w:t>
      </w:r>
      <w:r w:rsidRPr="00FF00F4">
        <w:t>prejudiced</w:t>
      </w:r>
      <w:r>
        <w:t xml:space="preserve"> </w:t>
      </w:r>
      <w:r w:rsidRPr="00FF00F4">
        <w:t>by</w:t>
      </w:r>
      <w:r>
        <w:t xml:space="preserve"> </w:t>
      </w:r>
      <w:r w:rsidRPr="00FF00F4">
        <w:t>the</w:t>
      </w:r>
      <w:r>
        <w:t xml:space="preserve"> absence of any </w:t>
      </w:r>
      <w:r w:rsidRPr="00FF00F4">
        <w:t>of</w:t>
      </w:r>
      <w:r>
        <w:t xml:space="preserve"> </w:t>
      </w:r>
      <w:r w:rsidRPr="00FF00F4">
        <w:t>those</w:t>
      </w:r>
      <w:r>
        <w:t xml:space="preserve"> </w:t>
      </w:r>
      <w:r w:rsidRPr="00FF00F4">
        <w:t>requirements.</w:t>
      </w:r>
    </w:p>
  </w:footnote>
  <w:footnote w:id="14">
    <w:p w14:paraId="05CF615F" w14:textId="2A83D237" w:rsidR="00DF4DD8" w:rsidRDefault="00DF4DD8" w:rsidP="00DF4DD8">
      <w:pPr>
        <w:pStyle w:val="FootnoteText"/>
      </w:pPr>
      <w:r>
        <w:rPr>
          <w:rStyle w:val="FootnoteReference"/>
        </w:rPr>
        <w:footnoteRef/>
      </w:r>
      <w:r>
        <w:t xml:space="preserve"> </w:t>
      </w:r>
      <w:r w:rsidRPr="00364FE2">
        <w:rPr>
          <w:i/>
        </w:rPr>
        <w:t>See,</w:t>
      </w:r>
      <w:r>
        <w:rPr>
          <w:i/>
        </w:rPr>
        <w:t xml:space="preserve"> </w:t>
      </w:r>
      <w:r w:rsidRPr="00364FE2">
        <w:rPr>
          <w:i/>
        </w:rPr>
        <w:t>e.g.</w:t>
      </w:r>
      <w:r w:rsidRPr="00364FE2">
        <w:t>,</w:t>
      </w:r>
      <w:r>
        <w:t xml:space="preserve"> </w:t>
      </w:r>
      <w:r w:rsidRPr="00364FE2">
        <w:rPr>
          <w:i/>
          <w:iCs/>
        </w:rPr>
        <w:t>DC3</w:t>
      </w:r>
      <w:r>
        <w:rPr>
          <w:i/>
          <w:iCs/>
        </w:rPr>
        <w:t xml:space="preserve"> </w:t>
      </w:r>
      <w:r w:rsidRPr="00364FE2">
        <w:rPr>
          <w:i/>
          <w:iCs/>
        </w:rPr>
        <w:t>Ent.,</w:t>
      </w:r>
      <w:r>
        <w:rPr>
          <w:i/>
          <w:iCs/>
        </w:rPr>
        <w:t xml:space="preserve"> </w:t>
      </w:r>
      <w:r w:rsidRPr="00364FE2">
        <w:rPr>
          <w:i/>
          <w:iCs/>
        </w:rPr>
        <w:t>LLC</w:t>
      </w:r>
      <w:r>
        <w:rPr>
          <w:i/>
          <w:iCs/>
        </w:rPr>
        <w:t xml:space="preserve"> </w:t>
      </w:r>
      <w:r w:rsidRPr="00364FE2">
        <w:rPr>
          <w:i/>
          <w:iCs/>
        </w:rPr>
        <w:t>v.</w:t>
      </w:r>
      <w:r>
        <w:rPr>
          <w:i/>
          <w:iCs/>
        </w:rPr>
        <w:t xml:space="preserve"> </w:t>
      </w:r>
      <w:r w:rsidRPr="00364FE2">
        <w:rPr>
          <w:i/>
          <w:iCs/>
        </w:rPr>
        <w:t>John</w:t>
      </w:r>
      <w:r>
        <w:rPr>
          <w:i/>
          <w:iCs/>
        </w:rPr>
        <w:t xml:space="preserve"> </w:t>
      </w:r>
      <w:r w:rsidRPr="00364FE2">
        <w:rPr>
          <w:i/>
          <w:iCs/>
        </w:rPr>
        <w:t>Galt</w:t>
      </w:r>
      <w:r>
        <w:rPr>
          <w:i/>
          <w:iCs/>
        </w:rPr>
        <w:t xml:space="preserve"> </w:t>
      </w:r>
      <w:r w:rsidRPr="00364FE2">
        <w:rPr>
          <w:i/>
          <w:iCs/>
        </w:rPr>
        <w:t>Ent.,</w:t>
      </w:r>
      <w:r>
        <w:rPr>
          <w:i/>
          <w:iCs/>
        </w:rPr>
        <w:t xml:space="preserve"> </w:t>
      </w:r>
      <w:r w:rsidRPr="00364FE2">
        <w:rPr>
          <w:i/>
          <w:iCs/>
        </w:rPr>
        <w:t>Inc.</w:t>
      </w:r>
      <w:r w:rsidRPr="00364FE2">
        <w:t>,</w:t>
      </w:r>
      <w:r>
        <w:t xml:space="preserve"> </w:t>
      </w:r>
      <w:r w:rsidRPr="00364FE2">
        <w:t>2006</w:t>
      </w:r>
      <w:r>
        <w:t xml:space="preserve"> </w:t>
      </w:r>
      <w:r w:rsidRPr="00364FE2">
        <w:t>WL</w:t>
      </w:r>
      <w:r>
        <w:t xml:space="preserve"> </w:t>
      </w:r>
      <w:r w:rsidRPr="00364FE2">
        <w:t>278573,</w:t>
      </w:r>
      <w:r>
        <w:t xml:space="preserve"> </w:t>
      </w:r>
      <w:r w:rsidRPr="00364FE2">
        <w:t>at</w:t>
      </w:r>
      <w:r>
        <w:t xml:space="preserve"> </w:t>
      </w:r>
      <w:r w:rsidRPr="00364FE2">
        <w:t>*10</w:t>
      </w:r>
      <w:r>
        <w:t xml:space="preserve"> </w:t>
      </w:r>
      <w:r w:rsidRPr="00364FE2">
        <w:t>(W.D.</w:t>
      </w:r>
      <w:r>
        <w:t xml:space="preserve"> </w:t>
      </w:r>
      <w:r w:rsidRPr="00364FE2">
        <w:t>Wash.</w:t>
      </w:r>
      <w:r>
        <w:t xml:space="preserve"> </w:t>
      </w:r>
      <w:r w:rsidRPr="00364FE2">
        <w:t>Feb.</w:t>
      </w:r>
      <w:r>
        <w:t xml:space="preserve"> </w:t>
      </w:r>
      <w:r w:rsidRPr="00364FE2">
        <w:t>2,</w:t>
      </w:r>
      <w:r>
        <w:t xml:space="preserve"> </w:t>
      </w:r>
      <w:r w:rsidRPr="00364FE2">
        <w:t>2006)</w:t>
      </w:r>
      <w:r w:rsidR="00776D97">
        <w:fldChar w:fldCharType="begin"/>
      </w:r>
      <w:r w:rsidR="00776D97">
        <w:instrText xml:space="preserve"> TA \l "</w:instrText>
      </w:r>
      <w:r w:rsidR="00776D97" w:rsidRPr="004E2E4B">
        <w:rPr>
          <w:i/>
          <w:iCs/>
        </w:rPr>
        <w:instrText>DC3 Ent., LLC v. John Galt Entertainment, Inc.</w:instrText>
      </w:r>
      <w:r w:rsidR="00776D97" w:rsidRPr="004E2E4B">
        <w:instrText>,</w:instrText>
      </w:r>
      <w:r w:rsidR="00776D97" w:rsidRPr="004E2E4B">
        <w:br/>
        <w:instrText>2006 WL 278573 (W.D. Wash. Feb. 2, 2006)</w:instrText>
      </w:r>
      <w:r w:rsidR="00776D97">
        <w:instrText xml:space="preserve">" \s "DC3 Ent., LLC v. John Galt Ent., Inc., 2006 WL 278573, at *10 (W.D. Wash. Feb. 2, 2006)" \c 1 </w:instrText>
      </w:r>
      <w:r w:rsidR="00776D97">
        <w:fldChar w:fldCharType="end"/>
      </w:r>
      <w:r>
        <w:t xml:space="preserve"> </w:t>
      </w:r>
      <w:r w:rsidRPr="00364FE2">
        <w:t>(applying</w:t>
      </w:r>
      <w:r>
        <w:t xml:space="preserve"> </w:t>
      </w:r>
      <w:r w:rsidRPr="00364FE2">
        <w:t>the</w:t>
      </w:r>
      <w:r>
        <w:t xml:space="preserve"> </w:t>
      </w:r>
      <w:r w:rsidRPr="00364FE2">
        <w:t>California</w:t>
      </w:r>
      <w:r>
        <w:t xml:space="preserve"> </w:t>
      </w:r>
      <w:r w:rsidRPr="00364FE2">
        <w:t>Fair</w:t>
      </w:r>
      <w:r>
        <w:t xml:space="preserve"> </w:t>
      </w:r>
      <w:r w:rsidRPr="00364FE2">
        <w:t>Employment</w:t>
      </w:r>
      <w:r>
        <w:t xml:space="preserve"> </w:t>
      </w:r>
      <w:r w:rsidRPr="00364FE2">
        <w:t>and</w:t>
      </w:r>
      <w:r>
        <w:t xml:space="preserve"> </w:t>
      </w:r>
      <w:r w:rsidRPr="00364FE2">
        <w:t>Housing</w:t>
      </w:r>
      <w:r>
        <w:t xml:space="preserve"> </w:t>
      </w:r>
      <w:r w:rsidRPr="00364FE2">
        <w:t>Act,</w:t>
      </w:r>
      <w:r>
        <w:t xml:space="preserve"> </w:t>
      </w:r>
      <w:r w:rsidRPr="00364FE2">
        <w:t>which</w:t>
      </w:r>
      <w:r>
        <w:t xml:space="preserve"> </w:t>
      </w:r>
      <w:r w:rsidRPr="00364FE2">
        <w:t>allowed</w:t>
      </w:r>
      <w:r>
        <w:t xml:space="preserve"> </w:t>
      </w:r>
      <w:r w:rsidRPr="00364FE2">
        <w:t>for</w:t>
      </w:r>
      <w:r>
        <w:t xml:space="preserve"> </w:t>
      </w:r>
      <w:r w:rsidRPr="00364FE2">
        <w:t>punitive</w:t>
      </w:r>
      <w:r>
        <w:t xml:space="preserve"> </w:t>
      </w:r>
      <w:r w:rsidRPr="00364FE2">
        <w:t>damages,</w:t>
      </w:r>
      <w:r>
        <w:t xml:space="preserve"> </w:t>
      </w:r>
      <w:r w:rsidRPr="00364FE2">
        <w:t>to</w:t>
      </w:r>
      <w:r>
        <w:t xml:space="preserve"> </w:t>
      </w:r>
      <w:r w:rsidRPr="00364FE2">
        <w:t>determine</w:t>
      </w:r>
      <w:r>
        <w:t xml:space="preserve"> </w:t>
      </w:r>
      <w:r w:rsidRPr="00364FE2">
        <w:t>liability,</w:t>
      </w:r>
      <w:r>
        <w:t xml:space="preserve"> </w:t>
      </w:r>
      <w:r w:rsidRPr="00364FE2">
        <w:t>but</w:t>
      </w:r>
      <w:r>
        <w:t xml:space="preserve"> </w:t>
      </w:r>
      <w:r w:rsidRPr="00364FE2">
        <w:t>applying</w:t>
      </w:r>
      <w:r>
        <w:t xml:space="preserve"> </w:t>
      </w:r>
      <w:r w:rsidRPr="00364FE2">
        <w:t>Washington</w:t>
      </w:r>
      <w:r>
        <w:t>’</w:t>
      </w:r>
      <w:r w:rsidRPr="00364FE2">
        <w:t>s</w:t>
      </w:r>
      <w:r>
        <w:t xml:space="preserve"> </w:t>
      </w:r>
      <w:r w:rsidRPr="00935122">
        <w:t>bar</w:t>
      </w:r>
      <w:r>
        <w:t xml:space="preserve"> </w:t>
      </w:r>
      <w:r w:rsidRPr="00364FE2">
        <w:t>on</w:t>
      </w:r>
      <w:r>
        <w:t xml:space="preserve"> </w:t>
      </w:r>
      <w:r w:rsidRPr="00364FE2">
        <w:t>punitive</w:t>
      </w:r>
      <w:r>
        <w:t xml:space="preserve"> </w:t>
      </w:r>
      <w:r w:rsidRPr="00364FE2">
        <w:t>damages)</w:t>
      </w:r>
      <w:r>
        <w:t xml:space="preserve">; </w:t>
      </w:r>
      <w:r w:rsidRPr="00364FE2">
        <w:rPr>
          <w:i/>
        </w:rPr>
        <w:t>James</w:t>
      </w:r>
      <w:r>
        <w:rPr>
          <w:i/>
        </w:rPr>
        <w:t xml:space="preserve"> </w:t>
      </w:r>
      <w:r w:rsidRPr="00364FE2">
        <w:rPr>
          <w:i/>
        </w:rPr>
        <w:t>v.</w:t>
      </w:r>
      <w:r>
        <w:rPr>
          <w:i/>
        </w:rPr>
        <w:t xml:space="preserve"> </w:t>
      </w:r>
      <w:r w:rsidRPr="00364FE2">
        <w:rPr>
          <w:i/>
        </w:rPr>
        <w:t>Powell</w:t>
      </w:r>
      <w:r w:rsidRPr="00364FE2">
        <w:t>,</w:t>
      </w:r>
      <w:r>
        <w:t xml:space="preserve"> </w:t>
      </w:r>
      <w:r w:rsidRPr="00364FE2">
        <w:t>19</w:t>
      </w:r>
      <w:r>
        <w:t xml:space="preserve"> </w:t>
      </w:r>
      <w:r w:rsidRPr="00364FE2">
        <w:t>N.Y.2d</w:t>
      </w:r>
      <w:r>
        <w:t xml:space="preserve"> </w:t>
      </w:r>
      <w:r w:rsidRPr="00364FE2">
        <w:t>249,</w:t>
      </w:r>
      <w:r>
        <w:t xml:space="preserve"> </w:t>
      </w:r>
      <w:r w:rsidRPr="00364FE2">
        <w:t>259-60</w:t>
      </w:r>
      <w:r>
        <w:t xml:space="preserve"> </w:t>
      </w:r>
      <w:r w:rsidRPr="00364FE2">
        <w:t>(1967)</w:t>
      </w:r>
      <w:r w:rsidR="00776D97">
        <w:fldChar w:fldCharType="begin"/>
      </w:r>
      <w:r w:rsidR="00776D97">
        <w:instrText xml:space="preserve"> TA \l "</w:instrText>
      </w:r>
      <w:r w:rsidR="00776D97" w:rsidRPr="004E2E4B">
        <w:rPr>
          <w:i/>
        </w:rPr>
        <w:instrText>James v. Powell</w:instrText>
      </w:r>
      <w:r w:rsidR="00776D97" w:rsidRPr="004E2E4B">
        <w:instrText>,</w:instrText>
      </w:r>
      <w:r w:rsidR="00776D97" w:rsidRPr="004E2E4B">
        <w:br/>
        <w:instrText>19 N.Y.2d 249 (1967)</w:instrText>
      </w:r>
      <w:r w:rsidR="00776D97">
        <w:instrText xml:space="preserve">" \s "James v. Powell, 19 N.Y.2d 249, 259-60 (1967)" \c 1 </w:instrText>
      </w:r>
      <w:r w:rsidR="00776D97">
        <w:fldChar w:fldCharType="end"/>
      </w:r>
      <w:r>
        <w:t xml:space="preserve"> </w:t>
      </w:r>
      <w:r w:rsidRPr="00364FE2">
        <w:t>(applying</w:t>
      </w:r>
      <w:r>
        <w:t xml:space="preserve"> </w:t>
      </w:r>
      <w:r w:rsidRPr="00364FE2">
        <w:t>Puerto</w:t>
      </w:r>
      <w:r>
        <w:t xml:space="preserve"> </w:t>
      </w:r>
      <w:r w:rsidRPr="00364FE2">
        <w:t>Rico</w:t>
      </w:r>
      <w:r>
        <w:t xml:space="preserve"> </w:t>
      </w:r>
      <w:r w:rsidRPr="00364FE2">
        <w:t>law</w:t>
      </w:r>
      <w:r>
        <w:t xml:space="preserve"> </w:t>
      </w:r>
      <w:r w:rsidRPr="00364FE2">
        <w:t>to</w:t>
      </w:r>
      <w:r>
        <w:t xml:space="preserve"> </w:t>
      </w:r>
      <w:r w:rsidRPr="00364FE2">
        <w:t>liability</w:t>
      </w:r>
      <w:r>
        <w:t xml:space="preserve"> </w:t>
      </w:r>
      <w:r w:rsidRPr="00364FE2">
        <w:t>and</w:t>
      </w:r>
      <w:r>
        <w:t xml:space="preserve"> </w:t>
      </w:r>
      <w:r w:rsidRPr="00364FE2">
        <w:t>New</w:t>
      </w:r>
      <w:r>
        <w:t xml:space="preserve"> </w:t>
      </w:r>
      <w:r w:rsidRPr="00364FE2">
        <w:t>York</w:t>
      </w:r>
      <w:r>
        <w:t xml:space="preserve"> </w:t>
      </w:r>
      <w:r w:rsidRPr="00364FE2">
        <w:t>law</w:t>
      </w:r>
      <w:r>
        <w:t xml:space="preserve"> </w:t>
      </w:r>
      <w:r w:rsidRPr="00364FE2">
        <w:t>to</w:t>
      </w:r>
      <w:r>
        <w:t xml:space="preserve"> </w:t>
      </w:r>
      <w:r w:rsidRPr="00364FE2">
        <w:t>punitive</w:t>
      </w:r>
      <w:r>
        <w:t xml:space="preserve"> </w:t>
      </w:r>
      <w:r w:rsidRPr="00364FE2">
        <w:t>damages</w:t>
      </w:r>
      <w:r>
        <w:t xml:space="preserve"> </w:t>
      </w:r>
      <w:r w:rsidRPr="00364FE2">
        <w:t>without</w:t>
      </w:r>
      <w:r>
        <w:t xml:space="preserve"> </w:t>
      </w:r>
      <w:r w:rsidRPr="00364FE2">
        <w:t>considering</w:t>
      </w:r>
      <w:r>
        <w:t xml:space="preserve"> </w:t>
      </w:r>
      <w:r w:rsidRPr="00364FE2">
        <w:t>merits</w:t>
      </w:r>
      <w:r>
        <w:t xml:space="preserve"> </w:t>
      </w:r>
      <w:r w:rsidRPr="00364FE2">
        <w:t>of</w:t>
      </w:r>
      <w:r>
        <w:t xml:space="preserve"> </w:t>
      </w:r>
      <w:r w:rsidRPr="00364FE2">
        <w:t>defendants</w:t>
      </w:r>
      <w:r>
        <w:t xml:space="preserve">’ </w:t>
      </w:r>
      <w:r w:rsidRPr="00364FE2">
        <w:t>argument</w:t>
      </w:r>
      <w:r>
        <w:t xml:space="preserve"> </w:t>
      </w:r>
      <w:r w:rsidRPr="00364FE2">
        <w:t>that</w:t>
      </w:r>
      <w:r>
        <w:t xml:space="preserve"> </w:t>
      </w:r>
      <w:r w:rsidRPr="00364FE2">
        <w:t>plaintiff</w:t>
      </w:r>
      <w:r>
        <w:t xml:space="preserve"> </w:t>
      </w:r>
      <w:r w:rsidRPr="00364FE2">
        <w:t>failed</w:t>
      </w:r>
      <w:r>
        <w:t xml:space="preserve"> </w:t>
      </w:r>
      <w:r w:rsidRPr="00364FE2">
        <w:t>to</w:t>
      </w:r>
      <w:r>
        <w:t xml:space="preserve"> </w:t>
      </w:r>
      <w:r w:rsidRPr="00364FE2">
        <w:t>state</w:t>
      </w:r>
      <w:r>
        <w:t xml:space="preserve"> </w:t>
      </w:r>
      <w:r w:rsidRPr="00364FE2">
        <w:t>a</w:t>
      </w:r>
      <w:r>
        <w:t xml:space="preserve"> </w:t>
      </w:r>
      <w:r w:rsidRPr="00364FE2">
        <w:t>claim</w:t>
      </w:r>
      <w:r>
        <w:t xml:space="preserve"> </w:t>
      </w:r>
      <w:r w:rsidRPr="00364FE2">
        <w:t>under</w:t>
      </w:r>
      <w:r>
        <w:t xml:space="preserve"> </w:t>
      </w:r>
      <w:r w:rsidRPr="00364FE2">
        <w:t>New</w:t>
      </w:r>
      <w:r>
        <w:t xml:space="preserve"> </w:t>
      </w:r>
      <w:r w:rsidRPr="00364FE2">
        <w:t>York</w:t>
      </w:r>
      <w:r>
        <w:t xml:space="preserve"> </w:t>
      </w:r>
      <w:r w:rsidRPr="00364FE2">
        <w:t>law);</w:t>
      </w:r>
      <w:r>
        <w:t xml:space="preserve"> </w:t>
      </w:r>
      <w:proofErr w:type="spellStart"/>
      <w:r w:rsidRPr="00364FE2">
        <w:rPr>
          <w:i/>
        </w:rPr>
        <w:t>Kilberg</w:t>
      </w:r>
      <w:proofErr w:type="spellEnd"/>
      <w:r>
        <w:rPr>
          <w:i/>
        </w:rPr>
        <w:t xml:space="preserve"> </w:t>
      </w:r>
      <w:r w:rsidRPr="00364FE2">
        <w:rPr>
          <w:i/>
        </w:rPr>
        <w:t>v.</w:t>
      </w:r>
      <w:r>
        <w:rPr>
          <w:i/>
        </w:rPr>
        <w:t xml:space="preserve"> </w:t>
      </w:r>
      <w:r w:rsidRPr="00364FE2">
        <w:rPr>
          <w:i/>
        </w:rPr>
        <w:t>Northeast</w:t>
      </w:r>
      <w:r>
        <w:rPr>
          <w:i/>
        </w:rPr>
        <w:t xml:space="preserve"> </w:t>
      </w:r>
      <w:r w:rsidRPr="00364FE2">
        <w:rPr>
          <w:i/>
        </w:rPr>
        <w:t>Airlines,</w:t>
      </w:r>
      <w:r>
        <w:rPr>
          <w:i/>
        </w:rPr>
        <w:t xml:space="preserve"> </w:t>
      </w:r>
      <w:r w:rsidRPr="00364FE2">
        <w:rPr>
          <w:i/>
        </w:rPr>
        <w:t>Inc.</w:t>
      </w:r>
      <w:r w:rsidRPr="00364FE2">
        <w:t>,</w:t>
      </w:r>
      <w:r>
        <w:t xml:space="preserve"> </w:t>
      </w:r>
      <w:r w:rsidRPr="00364FE2">
        <w:t>172</w:t>
      </w:r>
      <w:r>
        <w:t xml:space="preserve"> </w:t>
      </w:r>
      <w:r w:rsidRPr="00364FE2">
        <w:t>N.E.2d</w:t>
      </w:r>
      <w:r>
        <w:t xml:space="preserve"> </w:t>
      </w:r>
      <w:r w:rsidRPr="00364FE2">
        <w:t>526,</w:t>
      </w:r>
      <w:r>
        <w:t xml:space="preserve"> </w:t>
      </w:r>
      <w:r w:rsidRPr="00935122">
        <w:t>529</w:t>
      </w:r>
      <w:r>
        <w:t xml:space="preserve"> </w:t>
      </w:r>
      <w:r w:rsidRPr="00364FE2">
        <w:t>(1961)</w:t>
      </w:r>
      <w:r w:rsidR="00776D97">
        <w:fldChar w:fldCharType="begin"/>
      </w:r>
      <w:r w:rsidR="00776D97">
        <w:instrText xml:space="preserve"> TA \l "</w:instrText>
      </w:r>
      <w:r w:rsidR="00776D97" w:rsidRPr="004E2E4B">
        <w:rPr>
          <w:i/>
        </w:rPr>
        <w:instrText>Kilberg v. Northeast Airlines, Inc.</w:instrText>
      </w:r>
      <w:r w:rsidR="00776D97" w:rsidRPr="004E2E4B">
        <w:instrText>,</w:instrText>
      </w:r>
      <w:r w:rsidR="00776D97" w:rsidRPr="004E2E4B">
        <w:br/>
        <w:instrText>172 N.E.2d 526 (1961)</w:instrText>
      </w:r>
      <w:r w:rsidR="00776D97">
        <w:instrText xml:space="preserve">" \s "Kilberg v. Northeast Airlines, Inc., 172 N.E.2d 526, 529 (1961)" \c 1 </w:instrText>
      </w:r>
      <w:r w:rsidR="00776D97">
        <w:fldChar w:fldCharType="end"/>
      </w:r>
      <w:r>
        <w:t xml:space="preserve"> </w:t>
      </w:r>
      <w:r w:rsidRPr="00364FE2">
        <w:t>(applying</w:t>
      </w:r>
      <w:r>
        <w:t xml:space="preserve"> </w:t>
      </w:r>
      <w:r w:rsidRPr="00364FE2">
        <w:t>forum</w:t>
      </w:r>
      <w:r>
        <w:t xml:space="preserve"> </w:t>
      </w:r>
      <w:r w:rsidRPr="00364FE2">
        <w:t>rules</w:t>
      </w:r>
      <w:r>
        <w:t xml:space="preserve"> </w:t>
      </w:r>
      <w:r w:rsidRPr="00364FE2">
        <w:t>on</w:t>
      </w:r>
      <w:r>
        <w:t xml:space="preserve"> </w:t>
      </w:r>
      <w:r w:rsidRPr="00364FE2">
        <w:t>damages</w:t>
      </w:r>
      <w:r>
        <w:t xml:space="preserve"> </w:t>
      </w:r>
      <w:r w:rsidRPr="00364FE2">
        <w:t>to</w:t>
      </w:r>
      <w:r>
        <w:t xml:space="preserve"> </w:t>
      </w:r>
      <w:r w:rsidRPr="00364FE2">
        <w:t>action</w:t>
      </w:r>
      <w:r>
        <w:t xml:space="preserve"> </w:t>
      </w:r>
      <w:r w:rsidRPr="00364FE2">
        <w:t>brought</w:t>
      </w:r>
      <w:r>
        <w:t xml:space="preserve"> </w:t>
      </w:r>
      <w:r w:rsidRPr="00364FE2">
        <w:t>under</w:t>
      </w:r>
      <w:r>
        <w:t xml:space="preserve"> </w:t>
      </w:r>
      <w:r w:rsidRPr="00364FE2">
        <w:t>Massachusetts</w:t>
      </w:r>
      <w:r>
        <w:t xml:space="preserve"> </w:t>
      </w:r>
      <w:r w:rsidRPr="00364FE2">
        <w:t>wrongful</w:t>
      </w:r>
      <w:r>
        <w:t xml:space="preserve"> </w:t>
      </w:r>
      <w:r w:rsidRPr="00364FE2">
        <w:t>death</w:t>
      </w:r>
      <w:r>
        <w:t xml:space="preserve"> </w:t>
      </w:r>
      <w:r w:rsidRPr="00364FE2">
        <w:t>statute)</w:t>
      </w:r>
      <w:r>
        <w:t xml:space="preserve">; </w:t>
      </w:r>
      <w:r w:rsidRPr="00364FE2">
        <w:rPr>
          <w:i/>
          <w:iCs/>
        </w:rPr>
        <w:t>In</w:t>
      </w:r>
      <w:r>
        <w:rPr>
          <w:i/>
          <w:iCs/>
        </w:rPr>
        <w:t xml:space="preserve"> </w:t>
      </w:r>
      <w:r w:rsidRPr="00364FE2">
        <w:rPr>
          <w:i/>
          <w:iCs/>
        </w:rPr>
        <w:t>re</w:t>
      </w:r>
      <w:r>
        <w:rPr>
          <w:i/>
          <w:iCs/>
        </w:rPr>
        <w:t xml:space="preserve"> </w:t>
      </w:r>
      <w:r w:rsidRPr="00364FE2">
        <w:rPr>
          <w:i/>
          <w:iCs/>
        </w:rPr>
        <w:t>Air</w:t>
      </w:r>
      <w:r>
        <w:rPr>
          <w:i/>
          <w:iCs/>
        </w:rPr>
        <w:t xml:space="preserve"> </w:t>
      </w:r>
      <w:r w:rsidRPr="00364FE2">
        <w:rPr>
          <w:i/>
          <w:iCs/>
        </w:rPr>
        <w:t>Crash</w:t>
      </w:r>
      <w:r>
        <w:rPr>
          <w:i/>
          <w:iCs/>
        </w:rPr>
        <w:t xml:space="preserve"> </w:t>
      </w:r>
      <w:r w:rsidRPr="00364FE2">
        <w:rPr>
          <w:i/>
          <w:iCs/>
        </w:rPr>
        <w:t>at</w:t>
      </w:r>
      <w:r>
        <w:rPr>
          <w:i/>
          <w:iCs/>
        </w:rPr>
        <w:t xml:space="preserve"> </w:t>
      </w:r>
      <w:r w:rsidRPr="00364FE2">
        <w:rPr>
          <w:i/>
          <w:iCs/>
        </w:rPr>
        <w:t>Belle</w:t>
      </w:r>
      <w:r>
        <w:rPr>
          <w:i/>
          <w:iCs/>
        </w:rPr>
        <w:t xml:space="preserve"> </w:t>
      </w:r>
      <w:r w:rsidRPr="00364FE2">
        <w:rPr>
          <w:i/>
          <w:iCs/>
        </w:rPr>
        <w:t>Harbor,</w:t>
      </w:r>
      <w:r>
        <w:rPr>
          <w:i/>
          <w:iCs/>
        </w:rPr>
        <w:t xml:space="preserve"> </w:t>
      </w:r>
      <w:r w:rsidRPr="00364FE2">
        <w:rPr>
          <w:i/>
          <w:iCs/>
        </w:rPr>
        <w:t>New</w:t>
      </w:r>
      <w:r>
        <w:rPr>
          <w:i/>
          <w:iCs/>
        </w:rPr>
        <w:t xml:space="preserve"> </w:t>
      </w:r>
      <w:r w:rsidRPr="00364FE2">
        <w:rPr>
          <w:i/>
          <w:iCs/>
        </w:rPr>
        <w:t>York</w:t>
      </w:r>
      <w:r>
        <w:rPr>
          <w:i/>
          <w:iCs/>
        </w:rPr>
        <w:t xml:space="preserve"> </w:t>
      </w:r>
      <w:r w:rsidRPr="00364FE2">
        <w:rPr>
          <w:i/>
          <w:iCs/>
        </w:rPr>
        <w:t>on</w:t>
      </w:r>
      <w:r>
        <w:rPr>
          <w:i/>
          <w:iCs/>
        </w:rPr>
        <w:t xml:space="preserve"> </w:t>
      </w:r>
      <w:r w:rsidRPr="00364FE2">
        <w:rPr>
          <w:i/>
          <w:iCs/>
        </w:rPr>
        <w:t>Nov.</w:t>
      </w:r>
      <w:r>
        <w:rPr>
          <w:i/>
          <w:iCs/>
        </w:rPr>
        <w:t xml:space="preserve"> </w:t>
      </w:r>
      <w:r w:rsidRPr="00364FE2">
        <w:rPr>
          <w:i/>
          <w:iCs/>
        </w:rPr>
        <w:t>12,</w:t>
      </w:r>
      <w:r>
        <w:rPr>
          <w:i/>
          <w:iCs/>
        </w:rPr>
        <w:t xml:space="preserve"> </w:t>
      </w:r>
      <w:r w:rsidRPr="00364FE2">
        <w:rPr>
          <w:i/>
          <w:iCs/>
        </w:rPr>
        <w:t>2001</w:t>
      </w:r>
      <w:r w:rsidRPr="00364FE2">
        <w:t>,</w:t>
      </w:r>
      <w:r>
        <w:t xml:space="preserve"> </w:t>
      </w:r>
      <w:r w:rsidRPr="00364FE2">
        <w:t>2006</w:t>
      </w:r>
      <w:r>
        <w:t xml:space="preserve"> </w:t>
      </w:r>
      <w:r w:rsidRPr="00364FE2">
        <w:t>WL</w:t>
      </w:r>
      <w:r>
        <w:t xml:space="preserve"> </w:t>
      </w:r>
      <w:r w:rsidRPr="00364FE2">
        <w:t>1288298,</w:t>
      </w:r>
      <w:r>
        <w:t xml:space="preserve"> </w:t>
      </w:r>
      <w:r w:rsidRPr="00364FE2">
        <w:t>at</w:t>
      </w:r>
      <w:r>
        <w:t xml:space="preserve"> </w:t>
      </w:r>
      <w:r w:rsidRPr="00364FE2">
        <w:t>*23</w:t>
      </w:r>
      <w:r>
        <w:t xml:space="preserve"> </w:t>
      </w:r>
      <w:r w:rsidRPr="00364FE2">
        <w:t>(S.D.N.Y.</w:t>
      </w:r>
      <w:r>
        <w:t xml:space="preserve"> </w:t>
      </w:r>
      <w:r w:rsidRPr="00364FE2">
        <w:t>May</w:t>
      </w:r>
      <w:r>
        <w:t xml:space="preserve"> </w:t>
      </w:r>
      <w:r w:rsidRPr="00364FE2">
        <w:t>9,</w:t>
      </w:r>
      <w:r>
        <w:t xml:space="preserve"> </w:t>
      </w:r>
      <w:r w:rsidRPr="00364FE2">
        <w:t>2006)</w:t>
      </w:r>
      <w:r w:rsidR="00776D97">
        <w:fldChar w:fldCharType="begin"/>
      </w:r>
      <w:r w:rsidR="00776D97">
        <w:instrText xml:space="preserve"> TA \l "</w:instrText>
      </w:r>
      <w:r w:rsidR="00776D97" w:rsidRPr="004E2E4B">
        <w:rPr>
          <w:i/>
          <w:iCs/>
        </w:rPr>
        <w:instrText>In re Air Crash at Belle Harbor, New York on Nov. 12, 2001</w:instrText>
      </w:r>
      <w:r w:rsidR="00776D97" w:rsidRPr="004E2E4B">
        <w:instrText>,</w:instrText>
      </w:r>
      <w:r w:rsidR="00776D97" w:rsidRPr="004E2E4B">
        <w:br/>
        <w:instrText>2006 WL 1288298 (S.D.N.Y. May 9, 2006)</w:instrText>
      </w:r>
      <w:r w:rsidR="00776D97">
        <w:instrText xml:space="preserve">" \s "In re Air Crash at Belle Harbor, New York on Nov. 12, 2001, No. MDL 1448 (RWS), 2006 WL 1288298, at *23 (S.D.N.Y. May 9, 2006)" \c 1 </w:instrText>
      </w:r>
      <w:r w:rsidR="00776D97">
        <w:fldChar w:fldCharType="end"/>
      </w:r>
      <w:r>
        <w:t xml:space="preserve"> </w:t>
      </w:r>
      <w:r w:rsidRPr="00364FE2">
        <w:t>(maritime</w:t>
      </w:r>
      <w:r>
        <w:t xml:space="preserve"> </w:t>
      </w:r>
      <w:r w:rsidRPr="00364FE2">
        <w:t>law</w:t>
      </w:r>
      <w:r>
        <w:t xml:space="preserve"> </w:t>
      </w:r>
      <w:r w:rsidRPr="00364FE2">
        <w:t>governs</w:t>
      </w:r>
      <w:r>
        <w:t xml:space="preserve"> </w:t>
      </w:r>
      <w:r w:rsidRPr="00364FE2">
        <w:t>compensatory</w:t>
      </w:r>
      <w:r>
        <w:t xml:space="preserve"> </w:t>
      </w:r>
      <w:r w:rsidRPr="00364FE2">
        <w:t>damages,</w:t>
      </w:r>
      <w:r>
        <w:t xml:space="preserve"> </w:t>
      </w:r>
      <w:r w:rsidRPr="00364FE2">
        <w:t>but</w:t>
      </w:r>
      <w:r>
        <w:t xml:space="preserve"> </w:t>
      </w:r>
      <w:r w:rsidRPr="00364FE2">
        <w:t>French</w:t>
      </w:r>
      <w:r>
        <w:t xml:space="preserve"> </w:t>
      </w:r>
      <w:r w:rsidRPr="00364FE2">
        <w:t>and</w:t>
      </w:r>
      <w:r>
        <w:t xml:space="preserve"> </w:t>
      </w:r>
      <w:r w:rsidRPr="00364FE2">
        <w:t>New</w:t>
      </w:r>
      <w:r>
        <w:t xml:space="preserve"> </w:t>
      </w:r>
      <w:r w:rsidRPr="00364FE2">
        <w:t>York</w:t>
      </w:r>
      <w:r>
        <w:t xml:space="preserve"> </w:t>
      </w:r>
      <w:r w:rsidRPr="00364FE2">
        <w:t>law</w:t>
      </w:r>
      <w:r>
        <w:t xml:space="preserve"> </w:t>
      </w:r>
      <w:r w:rsidRPr="00364FE2">
        <w:t>governs</w:t>
      </w:r>
      <w:r>
        <w:t xml:space="preserve"> </w:t>
      </w:r>
      <w:r w:rsidRPr="00364FE2">
        <w:t>punitive</w:t>
      </w:r>
      <w:r>
        <w:t xml:space="preserve"> </w:t>
      </w:r>
      <w:r w:rsidRPr="00364FE2">
        <w:t>damages).</w:t>
      </w:r>
    </w:p>
  </w:footnote>
  <w:footnote w:id="15">
    <w:p w14:paraId="320946FE" w14:textId="22A58A41" w:rsidR="001C2B7C" w:rsidRPr="00C137DA" w:rsidRDefault="001C2B7C" w:rsidP="00E454A9">
      <w:pPr>
        <w:pStyle w:val="FootnoteText"/>
      </w:pPr>
      <w:r w:rsidRPr="00C137DA">
        <w:rPr>
          <w:rStyle w:val="FootnoteReference"/>
          <w:szCs w:val="28"/>
        </w:rPr>
        <w:footnoteRef/>
      </w:r>
      <w:r w:rsidRPr="00C137DA">
        <w:t xml:space="preserve"> </w:t>
      </w:r>
      <w:r w:rsidR="004830FD" w:rsidRPr="00F42B4B">
        <w:rPr>
          <w:i/>
          <w:iCs/>
        </w:rPr>
        <w:t>Zamora v. Mobil Corp.</w:t>
      </w:r>
      <w:r w:rsidR="004830FD" w:rsidRPr="00F42B4B">
        <w:t>, 104 Wn.2d 199, 204, 704 P.2d 584 (1985)</w:t>
      </w:r>
      <w:r w:rsidR="00F42B4B">
        <w:fldChar w:fldCharType="begin"/>
      </w:r>
      <w:r w:rsidR="00F42B4B">
        <w:instrText xml:space="preserve"> TA \l "</w:instrText>
      </w:r>
      <w:r w:rsidR="00F42B4B" w:rsidRPr="00787B5B">
        <w:rPr>
          <w:i/>
          <w:iCs/>
        </w:rPr>
        <w:instrText>Zamora v. Mobil Corp.</w:instrText>
      </w:r>
      <w:r w:rsidR="00F42B4B" w:rsidRPr="00787B5B">
        <w:instrText>,</w:instrText>
      </w:r>
      <w:r w:rsidR="00F42B4B" w:rsidRPr="00787B5B">
        <w:br/>
        <w:instrText>104 Wn.2d 199, 704 P.2d 584 (1985)</w:instrText>
      </w:r>
      <w:r w:rsidR="00F42B4B">
        <w:instrText xml:space="preserve">" \s "Zamora v. Mobil, 104 Wn.2d 199" \c 1 </w:instrText>
      </w:r>
      <w:r w:rsidR="00F42B4B">
        <w:fldChar w:fldCharType="end"/>
      </w:r>
      <w:r w:rsidR="004830FD">
        <w:t>, the only relevant Supreme Court case Monsanto cites</w:t>
      </w:r>
      <w:r w:rsidR="00D75B64">
        <w:t>,</w:t>
      </w:r>
      <w:r w:rsidR="004830FD">
        <w:t xml:space="preserve"> isn</w:t>
      </w:r>
      <w:r w:rsidR="00E454A9">
        <w:t>’</w:t>
      </w:r>
      <w:r w:rsidR="004830FD">
        <w:t xml:space="preserve">t to the contrary. It </w:t>
      </w:r>
      <w:r w:rsidR="004830FD" w:rsidRPr="00910176">
        <w:t>held that a company that temporarily owned propane gas on paper</w:t>
      </w:r>
      <w:r w:rsidR="00E454A9">
        <w:t>—</w:t>
      </w:r>
      <w:r w:rsidR="004830FD" w:rsidRPr="00910176">
        <w:t>but never manufactured, possessed, or even had an opportunity to inspect it</w:t>
      </w:r>
      <w:r w:rsidR="00E454A9">
        <w:t>—</w:t>
      </w:r>
      <w:r w:rsidR="004830FD">
        <w:t>had</w:t>
      </w:r>
      <w:r w:rsidR="004830FD" w:rsidRPr="00910176">
        <w:t xml:space="preserve"> no duty to warn end users.</w:t>
      </w:r>
      <w:r w:rsidR="004830FD">
        <w:t xml:space="preserve"> </w:t>
      </w:r>
      <w:r w:rsidR="004830FD" w:rsidRPr="00910176">
        <w:t xml:space="preserve">In other words, </w:t>
      </w:r>
      <w:r w:rsidR="004830FD">
        <w:rPr>
          <w:i/>
          <w:iCs/>
        </w:rPr>
        <w:t xml:space="preserve">Zamora </w:t>
      </w:r>
      <w:r w:rsidR="004830FD">
        <w:t xml:space="preserve">is about </w:t>
      </w:r>
      <w:r w:rsidR="004830FD" w:rsidRPr="00910176">
        <w:t xml:space="preserve">an </w:t>
      </w:r>
      <w:r w:rsidR="004830FD" w:rsidRPr="00910176">
        <w:rPr>
          <w:i/>
          <w:iCs/>
        </w:rPr>
        <w:t>intermediary</w:t>
      </w:r>
      <w:r w:rsidR="004830FD" w:rsidRPr="00910176">
        <w:t xml:space="preserve"> with “no notice” of a product’s danger</w:t>
      </w:r>
      <w:r w:rsidR="004830FD">
        <w:t xml:space="preserve">, not about </w:t>
      </w:r>
      <w:r w:rsidR="004830FD" w:rsidRPr="00910176">
        <w:t xml:space="preserve">a </w:t>
      </w:r>
      <w:r w:rsidR="004830FD" w:rsidRPr="00910176">
        <w:rPr>
          <w:i/>
          <w:iCs/>
        </w:rPr>
        <w:t>manufacturer</w:t>
      </w:r>
      <w:r w:rsidR="004830FD">
        <w:t xml:space="preserve"> (like Monsanto) with </w:t>
      </w:r>
      <w:r w:rsidR="001B75B8">
        <w:t xml:space="preserve">all </w:t>
      </w:r>
      <w:r w:rsidR="004830FD" w:rsidRPr="00910176">
        <w:t>the requisite knowledge</w:t>
      </w:r>
      <w:r w:rsidR="004830FD">
        <w:t>. T</w:t>
      </w:r>
      <w:r w:rsidR="004830FD" w:rsidRPr="00C137DA">
        <w:t>he remainder of Monsanto’s cases aren</w:t>
      </w:r>
      <w:r w:rsidR="001B75B8">
        <w:t>’</w:t>
      </w:r>
      <w:r w:rsidR="004830FD" w:rsidRPr="00C137DA">
        <w:t xml:space="preserve">t about the sophisticated-purchaser doctrine </w:t>
      </w:r>
      <w:r w:rsidR="001B75B8">
        <w:t xml:space="preserve">at all </w:t>
      </w:r>
      <w:r w:rsidR="004830FD" w:rsidRPr="00C137DA">
        <w:t xml:space="preserve">or are lower court opinions that pre-date </w:t>
      </w:r>
      <w:proofErr w:type="spellStart"/>
      <w:r w:rsidR="004830FD" w:rsidRPr="00C137DA">
        <w:rPr>
          <w:i/>
          <w:iCs/>
        </w:rPr>
        <w:t>Rublee</w:t>
      </w:r>
      <w:proofErr w:type="spellEnd"/>
      <w:r w:rsidR="004830FD" w:rsidRPr="00C137DA">
        <w:t xml:space="preserve">. </w:t>
      </w:r>
      <w:r w:rsidR="004830FD" w:rsidRPr="00EC73C6">
        <w:rPr>
          <w:i/>
          <w:iCs/>
        </w:rPr>
        <w:t>See, e.g.</w:t>
      </w:r>
      <w:r w:rsidR="004830FD" w:rsidRPr="00EC73C6">
        <w:t xml:space="preserve">, </w:t>
      </w:r>
      <w:r w:rsidR="004830FD" w:rsidRPr="00CE73D6">
        <w:rPr>
          <w:i/>
          <w:iCs/>
        </w:rPr>
        <w:t>Lunt v. Mount Spokane Skiing Corp.</w:t>
      </w:r>
      <w:r w:rsidR="004830FD" w:rsidRPr="00CE73D6">
        <w:t xml:space="preserve">, 62 </w:t>
      </w:r>
      <w:proofErr w:type="spellStart"/>
      <w:r w:rsidR="004830FD" w:rsidRPr="00CE73D6">
        <w:t>Wn</w:t>
      </w:r>
      <w:proofErr w:type="spellEnd"/>
      <w:r w:rsidR="004830FD" w:rsidRPr="00CE73D6">
        <w:t>. App. 353, 362, 814 P.2d 1189 (1991)</w:t>
      </w:r>
      <w:r w:rsidR="00CE73D6">
        <w:fldChar w:fldCharType="begin"/>
      </w:r>
      <w:r w:rsidR="00CE73D6">
        <w:instrText xml:space="preserve"> TA \l "</w:instrText>
      </w:r>
      <w:r w:rsidR="00CE73D6" w:rsidRPr="00787B5B">
        <w:rPr>
          <w:i/>
          <w:iCs/>
        </w:rPr>
        <w:instrText>Lunt v. Mount Spokane Skiing Corp.</w:instrText>
      </w:r>
      <w:r w:rsidR="00CE73D6" w:rsidRPr="00787B5B">
        <w:instrText>,</w:instrText>
      </w:r>
      <w:r w:rsidR="00CE73D6" w:rsidRPr="00787B5B">
        <w:br/>
        <w:instrText>62 Wn. App. 353, 814 P.2d 1189 (1991)</w:instrText>
      </w:r>
      <w:r w:rsidR="00CE73D6">
        <w:instrText xml:space="preserve">" \s "Lunt v. Mount Spokane, 62 Wn. App. 353" \c 1 </w:instrText>
      </w:r>
      <w:r w:rsidR="00CE73D6">
        <w:fldChar w:fldCharType="end"/>
      </w:r>
      <w:r w:rsidR="004830FD" w:rsidRPr="00EC73C6">
        <w:t xml:space="preserve"> (acknowledging </w:t>
      </w:r>
      <w:r w:rsidR="001B75B8">
        <w:t xml:space="preserve">that </w:t>
      </w:r>
      <w:r w:rsidR="004830FD" w:rsidRPr="00EC73C6">
        <w:t xml:space="preserve">the doctrine “may seem inapposite” </w:t>
      </w:r>
      <w:r w:rsidR="001B75B8" w:rsidRPr="00EC73C6">
        <w:t>outside the</w:t>
      </w:r>
      <w:r w:rsidR="001B75B8">
        <w:t xml:space="preserve"> </w:t>
      </w:r>
      <w:r w:rsidR="001B75B8" w:rsidRPr="00EC73C6">
        <w:t>pharmaceutical context</w:t>
      </w:r>
      <w:r w:rsidR="001B75B8">
        <w:t xml:space="preserve"> and applying it</w:t>
      </w:r>
      <w:r w:rsidR="004830FD" w:rsidRPr="00EC73C6">
        <w:t xml:space="preserve"> without analysis).</w:t>
      </w:r>
    </w:p>
  </w:footnote>
  <w:footnote w:id="16">
    <w:p w14:paraId="43F749F0" w14:textId="39972ECF" w:rsidR="0016286E" w:rsidRPr="008874F3" w:rsidRDefault="0016286E" w:rsidP="0016286E">
      <w:pPr>
        <w:pStyle w:val="FootnoteText"/>
        <w:rPr>
          <w:iCs/>
        </w:rPr>
      </w:pPr>
      <w:r>
        <w:rPr>
          <w:rStyle w:val="FootnoteReference"/>
        </w:rPr>
        <w:footnoteRef/>
      </w:r>
      <w:r>
        <w:t xml:space="preserve"> T</w:t>
      </w:r>
      <w:r w:rsidRPr="00BD1D4E">
        <w:t xml:space="preserve">he “overwhelming majority” of states </w:t>
      </w:r>
      <w:r>
        <w:t>have adopted</w:t>
      </w:r>
      <w:r w:rsidRPr="00BD1D4E">
        <w:t xml:space="preserve"> </w:t>
      </w:r>
      <w:r w:rsidRPr="00BD1D4E">
        <w:rPr>
          <w:i/>
        </w:rPr>
        <w:t>Daubert</w:t>
      </w:r>
      <w:r>
        <w:rPr>
          <w:iCs/>
        </w:rPr>
        <w:t xml:space="preserve">. </w:t>
      </w:r>
      <w:r>
        <w:rPr>
          <w:i/>
        </w:rPr>
        <w:t xml:space="preserve">See </w:t>
      </w:r>
      <w:proofErr w:type="spellStart"/>
      <w:r w:rsidRPr="00C216E4">
        <w:rPr>
          <w:iCs/>
        </w:rPr>
        <w:t>Beety</w:t>
      </w:r>
      <w:proofErr w:type="spellEnd"/>
      <w:r w:rsidRPr="00C216E4">
        <w:rPr>
          <w:iCs/>
        </w:rPr>
        <w:t xml:space="preserve"> &amp; Oliva, </w:t>
      </w:r>
      <w:r w:rsidRPr="00C216E4">
        <w:rPr>
          <w:i/>
        </w:rPr>
        <w:t>Evidence on Fire</w:t>
      </w:r>
      <w:r w:rsidRPr="00C216E4">
        <w:rPr>
          <w:iCs/>
        </w:rPr>
        <w:t>, 97 N.C. L. Rev. 483, 500 (2019)</w:t>
      </w:r>
      <w:r w:rsidR="00C216E4">
        <w:rPr>
          <w:iCs/>
        </w:rPr>
        <w:fldChar w:fldCharType="begin"/>
      </w:r>
      <w:r w:rsidR="00C216E4">
        <w:instrText xml:space="preserve"> TA \l "</w:instrText>
      </w:r>
      <w:r w:rsidR="00C216E4" w:rsidRPr="00787B5B">
        <w:rPr>
          <w:iCs/>
        </w:rPr>
        <w:instrText>Valena E. Beety &amp; Jennifer D. Oliva,</w:instrText>
      </w:r>
      <w:r w:rsidR="00C216E4" w:rsidRPr="00787B5B">
        <w:rPr>
          <w:iCs/>
        </w:rPr>
        <w:br/>
      </w:r>
      <w:r w:rsidR="00C216E4" w:rsidRPr="00787B5B">
        <w:rPr>
          <w:i/>
        </w:rPr>
        <w:instrText>Evidence on Fire</w:instrText>
      </w:r>
      <w:r w:rsidR="00C216E4" w:rsidRPr="00787B5B">
        <w:rPr>
          <w:iCs/>
        </w:rPr>
        <w:instrText>, 97 N.C. L. Rev. 483 (2019)</w:instrText>
      </w:r>
      <w:r w:rsidR="00C216E4">
        <w:instrText xml:space="preserve">" \s "Beety &amp; Oliva, Evidence, 97 N.C. L. Rev. 483" \c 3 </w:instrText>
      </w:r>
      <w:r w:rsidR="00C216E4">
        <w:rPr>
          <w:iCs/>
        </w:rPr>
        <w:fldChar w:fldCharType="end"/>
      </w:r>
      <w:r w:rsidRPr="00C216E4">
        <w:rPr>
          <w:iCs/>
        </w:rPr>
        <w:t xml:space="preserve">; </w:t>
      </w:r>
      <w:r w:rsidRPr="00C216E4">
        <w:rPr>
          <w:i/>
          <w:iCs/>
        </w:rPr>
        <w:t>see</w:t>
      </w:r>
      <w:r w:rsidRPr="00C216E4">
        <w:t xml:space="preserve"> </w:t>
      </w:r>
      <w:r w:rsidRPr="00C216E4">
        <w:rPr>
          <w:i/>
          <w:iCs/>
        </w:rPr>
        <w:t>also Reese v. Stroh</w:t>
      </w:r>
      <w:r w:rsidRPr="00C216E4">
        <w:t>, 128 Wn.2d 300, 311-13, 907 P.2d 282 (1995)</w:t>
      </w:r>
      <w:r w:rsidR="00C216E4">
        <w:fldChar w:fldCharType="begin"/>
      </w:r>
      <w:r w:rsidR="00C216E4">
        <w:instrText xml:space="preserve"> TA \l "</w:instrText>
      </w:r>
      <w:r w:rsidR="00C216E4" w:rsidRPr="00787B5B">
        <w:rPr>
          <w:i/>
          <w:iCs/>
        </w:rPr>
        <w:instrText>Reese v. Stroh</w:instrText>
      </w:r>
      <w:r w:rsidR="00C216E4" w:rsidRPr="00787B5B">
        <w:instrText>,</w:instrText>
      </w:r>
      <w:r w:rsidR="00C216E4" w:rsidRPr="00787B5B">
        <w:br/>
        <w:instrText>128 Wn.2d 300, 907 P.2d 282 (1995)</w:instrText>
      </w:r>
      <w:r w:rsidR="00C216E4">
        <w:instrText xml:space="preserve">" \s "Reese v. Stroh, 128 Wn.2d 300" \c 1 </w:instrText>
      </w:r>
      <w:r w:rsidR="00C216E4">
        <w:fldChar w:fldCharType="end"/>
      </w:r>
      <w:r w:rsidRPr="005F69AE">
        <w:t xml:space="preserve"> (Johnson, J., concurring)</w:t>
      </w:r>
      <w:r>
        <w:rPr>
          <w:iCs/>
        </w:rPr>
        <w:t xml:space="preserve"> (explaining why </w:t>
      </w:r>
      <w:r>
        <w:rPr>
          <w:i/>
        </w:rPr>
        <w:t>Daubert</w:t>
      </w:r>
      <w:r>
        <w:rPr>
          <w:iCs/>
        </w:rPr>
        <w:t xml:space="preserve"> </w:t>
      </w:r>
      <w:r w:rsidR="00E454A9">
        <w:rPr>
          <w:iCs/>
        </w:rPr>
        <w:t>is preferable</w:t>
      </w:r>
      <w:r>
        <w:rPr>
          <w:iCs/>
        </w:rPr>
        <w:t>).</w:t>
      </w:r>
    </w:p>
  </w:footnote>
  <w:footnote w:id="17">
    <w:p w14:paraId="6210A581" w14:textId="2170826E" w:rsidR="00123D75" w:rsidRPr="00BD1D4E" w:rsidRDefault="00123D75" w:rsidP="00123D75">
      <w:pPr>
        <w:pStyle w:val="FootnoteText"/>
      </w:pPr>
      <w:r w:rsidRPr="00BD1D4E">
        <w:rPr>
          <w:rStyle w:val="FootnoteReference"/>
          <w:szCs w:val="28"/>
        </w:rPr>
        <w:footnoteRef/>
      </w:r>
      <w:r w:rsidRPr="00BD1D4E">
        <w:t xml:space="preserve"> Because Monsanto raises no </w:t>
      </w:r>
      <w:r w:rsidRPr="00BD1D4E">
        <w:rPr>
          <w:i/>
          <w:iCs/>
        </w:rPr>
        <w:t xml:space="preserve">Frye </w:t>
      </w:r>
      <w:r w:rsidRPr="00BD1D4E">
        <w:t xml:space="preserve">challenge to </w:t>
      </w:r>
      <w:r w:rsidR="0083677A">
        <w:t>this</w:t>
      </w:r>
      <w:r w:rsidRPr="00BD1D4E">
        <w:t xml:space="preserve"> testimony, this Court reviews its admission</w:t>
      </w:r>
      <w:r w:rsidR="0083677A">
        <w:t xml:space="preserve"> </w:t>
      </w:r>
      <w:r w:rsidRPr="00BD1D4E">
        <w:t xml:space="preserve">only </w:t>
      </w:r>
      <w:r w:rsidR="0083677A">
        <w:t>for</w:t>
      </w:r>
      <w:r w:rsidRPr="00BD1D4E">
        <w:t xml:space="preserve"> abuse</w:t>
      </w:r>
      <w:r w:rsidR="0083677A">
        <w:t xml:space="preserve"> </w:t>
      </w:r>
      <w:r w:rsidRPr="00BD1D4E">
        <w:t>of</w:t>
      </w:r>
      <w:r w:rsidR="0083677A">
        <w:t xml:space="preserve"> </w:t>
      </w:r>
      <w:r w:rsidRPr="00BD1D4E">
        <w:t>discretion.</w:t>
      </w:r>
    </w:p>
  </w:footnote>
  <w:footnote w:id="18">
    <w:p w14:paraId="33AA3E20" w14:textId="2B101B8E" w:rsidR="00123D75" w:rsidRPr="003A6090" w:rsidRDefault="00123D75" w:rsidP="00123D75">
      <w:pPr>
        <w:pStyle w:val="FootnoteText"/>
      </w:pPr>
      <w:r w:rsidRPr="00BD1D4E">
        <w:rPr>
          <w:rStyle w:val="FootnoteReference"/>
          <w:szCs w:val="28"/>
        </w:rPr>
        <w:footnoteRef/>
      </w:r>
      <w:r w:rsidRPr="00BD1D4E">
        <w:t xml:space="preserve"> </w:t>
      </w:r>
      <w:r w:rsidR="00D53FF3" w:rsidRPr="00FF2196">
        <w:t>Guo et al., U.S. Env’t Prot. Agency, EPA/600/R-11/156A, Laboratory Study of Polychlorinated Biphenyl (PCB) Contamination and Mitigation in Buildings (2012)</w:t>
      </w:r>
      <w:r w:rsidR="00D53FF3">
        <w:t xml:space="preserve"> (</w:t>
      </w:r>
      <w:r w:rsidR="00D53FF3" w:rsidRPr="00A859B7">
        <w:rPr>
          <w:i/>
          <w:iCs/>
        </w:rPr>
        <w:t>available at</w:t>
      </w:r>
      <w:r w:rsidR="00D53FF3" w:rsidRPr="00FF2196">
        <w:t xml:space="preserve"> P-1649</w:t>
      </w:r>
      <w:r w:rsidR="00D53FF3">
        <w:t>)</w:t>
      </w:r>
      <w:r w:rsidR="00D53FF3" w:rsidRPr="00FF2196">
        <w:t>.</w:t>
      </w:r>
    </w:p>
  </w:footnote>
  <w:footnote w:id="19">
    <w:p w14:paraId="251E198F" w14:textId="1C8D204A" w:rsidR="00123D75" w:rsidRPr="00BD1D4E" w:rsidRDefault="00123D75" w:rsidP="00123D75">
      <w:pPr>
        <w:pStyle w:val="FootnoteText"/>
        <w:ind w:firstLine="706"/>
        <w:rPr>
          <w:szCs w:val="28"/>
        </w:rPr>
      </w:pPr>
      <w:r w:rsidRPr="00BD1D4E">
        <w:rPr>
          <w:rStyle w:val="FootnoteReference"/>
          <w:szCs w:val="28"/>
        </w:rPr>
        <w:footnoteRef/>
      </w:r>
      <w:r w:rsidRPr="00BD1D4E">
        <w:rPr>
          <w:szCs w:val="28"/>
        </w:rPr>
        <w:t xml:space="preserve"> </w:t>
      </w:r>
      <w:r>
        <w:t xml:space="preserve">Monsanto </w:t>
      </w:r>
      <w:r w:rsidRPr="005F69AE">
        <w:t xml:space="preserve">also </w:t>
      </w:r>
      <w:r w:rsidRPr="00D361B6">
        <w:t xml:space="preserve">suggests (at 80-82) that </w:t>
      </w:r>
      <w:r w:rsidRPr="00D361B6">
        <w:rPr>
          <w:i/>
          <w:iCs/>
        </w:rPr>
        <w:t xml:space="preserve">Frye </w:t>
      </w:r>
      <w:r w:rsidRPr="00D361B6">
        <w:t xml:space="preserve">is implicated because the EPA chamber study was conducted under controlled conditions, while the carpet samples might have been contaminated by “tracking” or other sources. But the possibility of </w:t>
      </w:r>
      <w:r w:rsidR="0083677A" w:rsidRPr="00D361B6">
        <w:t xml:space="preserve">an </w:t>
      </w:r>
      <w:r w:rsidRPr="00D361B6">
        <w:t>alternative contamination source doesn</w:t>
      </w:r>
      <w:r w:rsidR="00066F2D" w:rsidRPr="00D361B6">
        <w:t>’</w:t>
      </w:r>
      <w:r w:rsidRPr="00D361B6">
        <w:t xml:space="preserve">t implicate </w:t>
      </w:r>
      <w:r w:rsidRPr="00D361B6">
        <w:rPr>
          <w:i/>
          <w:iCs/>
        </w:rPr>
        <w:t>Frye</w:t>
      </w:r>
      <w:r w:rsidRPr="00D361B6">
        <w:t>; Coghlan still applied the generally accepted theory underlying the EPA study. Monsanto was entitled to argue for possible confounding sourc</w:t>
      </w:r>
      <w:r w:rsidR="00066F2D" w:rsidRPr="00D361B6">
        <w:t xml:space="preserve">es </w:t>
      </w:r>
      <w:r w:rsidRPr="00D361B6">
        <w:t xml:space="preserve">at trial, and it did so. And Monsanto fails to mention that </w:t>
      </w:r>
      <w:r w:rsidRPr="00D361B6">
        <w:rPr>
          <w:szCs w:val="28"/>
        </w:rPr>
        <w:t xml:space="preserve">Coghlan not only addressed the tracking in his reports but even decided to exclude the carpet samples </w:t>
      </w:r>
      <w:r w:rsidR="00F7339C">
        <w:rPr>
          <w:szCs w:val="28"/>
        </w:rPr>
        <w:t>with</w:t>
      </w:r>
      <w:r w:rsidRPr="00D361B6">
        <w:rPr>
          <w:szCs w:val="28"/>
        </w:rPr>
        <w:t xml:space="preserve"> extraordinarily high and non-uniformly distributed PCB levels that potentially suggested tracking or another source of contamination that was not PCB transfer from the air. CP 11950; </w:t>
      </w:r>
      <w:r w:rsidRPr="00D361B6">
        <w:rPr>
          <w:i/>
          <w:iCs/>
          <w:szCs w:val="28"/>
        </w:rPr>
        <w:t>see also</w:t>
      </w:r>
      <w:r w:rsidRPr="00D361B6">
        <w:rPr>
          <w:szCs w:val="28"/>
        </w:rPr>
        <w:t xml:space="preserve"> CP 18333, 18360.</w:t>
      </w:r>
    </w:p>
  </w:footnote>
  <w:footnote w:id="20">
    <w:p w14:paraId="0EC744D1" w14:textId="017F23F6" w:rsidR="00123D75" w:rsidRPr="00BD1D4E" w:rsidRDefault="00123D75" w:rsidP="00123D75">
      <w:pPr>
        <w:pStyle w:val="FootnoteText"/>
        <w:ind w:firstLine="706"/>
        <w:rPr>
          <w:szCs w:val="28"/>
        </w:rPr>
      </w:pPr>
      <w:r w:rsidRPr="00BD1D4E">
        <w:rPr>
          <w:rStyle w:val="FootnoteReference"/>
          <w:szCs w:val="28"/>
        </w:rPr>
        <w:footnoteRef/>
      </w:r>
      <w:r w:rsidRPr="00BD1D4E">
        <w:rPr>
          <w:szCs w:val="28"/>
        </w:rPr>
        <w:t xml:space="preserve"> </w:t>
      </w:r>
      <w:r w:rsidR="00D53FF3" w:rsidRPr="00FF2196">
        <w:rPr>
          <w:szCs w:val="28"/>
        </w:rPr>
        <w:t>Thomas et al., U.S. Env’t Prot. Agency, EPA/600/R-12/051, Polychlorinated Biphenyls (PCBs) in School Buildings: Sources, Environmental Levels, and Exposures (2012)</w:t>
      </w:r>
      <w:r w:rsidR="00D53FF3">
        <w:rPr>
          <w:szCs w:val="28"/>
        </w:rPr>
        <w:t xml:space="preserve"> (</w:t>
      </w:r>
      <w:r w:rsidR="00D53FF3" w:rsidRPr="00A859B7">
        <w:rPr>
          <w:i/>
          <w:iCs/>
          <w:szCs w:val="28"/>
        </w:rPr>
        <w:t>available at</w:t>
      </w:r>
      <w:r w:rsidR="00D53FF3" w:rsidRPr="00FF2196">
        <w:rPr>
          <w:szCs w:val="28"/>
        </w:rPr>
        <w:t xml:space="preserve"> P-1670</w:t>
      </w:r>
      <w:r w:rsidR="00D53FF3">
        <w:rPr>
          <w:szCs w:val="28"/>
        </w:rPr>
        <w:t>)</w:t>
      </w:r>
      <w:r w:rsidR="00D53FF3" w:rsidRPr="00FF2196">
        <w:rPr>
          <w:szCs w:val="28"/>
        </w:rPr>
        <w:t>.</w:t>
      </w:r>
    </w:p>
  </w:footnote>
  <w:footnote w:id="21">
    <w:p w14:paraId="0DA7AC71" w14:textId="5A4F3917" w:rsidR="00123D75" w:rsidRPr="00BD1D4E" w:rsidRDefault="00123D75" w:rsidP="00123D75">
      <w:pPr>
        <w:pStyle w:val="FootnoteText"/>
        <w:ind w:firstLine="706"/>
        <w:rPr>
          <w:szCs w:val="28"/>
        </w:rPr>
      </w:pPr>
      <w:r w:rsidRPr="00BD1D4E">
        <w:rPr>
          <w:rStyle w:val="FootnoteReference"/>
          <w:szCs w:val="28"/>
        </w:rPr>
        <w:footnoteRef/>
      </w:r>
      <w:r w:rsidRPr="00BD1D4E">
        <w:rPr>
          <w:szCs w:val="28"/>
        </w:rPr>
        <w:t xml:space="preserve"> Thus, even if </w:t>
      </w:r>
      <w:r w:rsidR="00D53FF3">
        <w:rPr>
          <w:szCs w:val="28"/>
        </w:rPr>
        <w:t xml:space="preserve">the </w:t>
      </w:r>
      <w:r w:rsidRPr="00BD1D4E">
        <w:rPr>
          <w:szCs w:val="28"/>
        </w:rPr>
        <w:t xml:space="preserve">trial court erred in admitting Coghlan’s testimony about his EPA study cross-check, any error was not prejudicial because it was “cumulative” of the estimates he generated from the carpet samples. </w:t>
      </w:r>
      <w:r w:rsidRPr="00BD1D4E">
        <w:rPr>
          <w:i/>
          <w:iCs/>
          <w:szCs w:val="28"/>
        </w:rPr>
        <w:t xml:space="preserve">See </w:t>
      </w:r>
      <w:r w:rsidRPr="00D361B6">
        <w:rPr>
          <w:bCs/>
          <w:i/>
          <w:iCs/>
          <w:szCs w:val="28"/>
        </w:rPr>
        <w:t xml:space="preserve">Brown v. Spokane </w:t>
      </w:r>
      <w:proofErr w:type="spellStart"/>
      <w:r w:rsidRPr="00D361B6">
        <w:rPr>
          <w:bCs/>
          <w:i/>
          <w:iCs/>
          <w:szCs w:val="28"/>
        </w:rPr>
        <w:t>Cnty</w:t>
      </w:r>
      <w:proofErr w:type="spellEnd"/>
      <w:r w:rsidRPr="00D361B6">
        <w:rPr>
          <w:bCs/>
          <w:i/>
          <w:iCs/>
          <w:szCs w:val="28"/>
        </w:rPr>
        <w:t xml:space="preserve"> Fire Prot. Dist. No. 1</w:t>
      </w:r>
      <w:r w:rsidRPr="00D361B6">
        <w:rPr>
          <w:bCs/>
          <w:szCs w:val="28"/>
        </w:rPr>
        <w:t>, 100 Wn.2d 188, 196, 668 P.2d 571 (1983)</w:t>
      </w:r>
      <w:r w:rsidR="00D361B6">
        <w:rPr>
          <w:bCs/>
          <w:szCs w:val="28"/>
        </w:rPr>
        <w:fldChar w:fldCharType="begin"/>
      </w:r>
      <w:r w:rsidR="00D361B6">
        <w:instrText xml:space="preserve"> TA \l "</w:instrText>
      </w:r>
      <w:r w:rsidR="00D361B6" w:rsidRPr="00787B5B">
        <w:rPr>
          <w:bCs/>
          <w:i/>
          <w:iCs/>
          <w:szCs w:val="28"/>
        </w:rPr>
        <w:instrText>Brown v. Spokane County Fire Protection District No. 1</w:instrText>
      </w:r>
      <w:r w:rsidR="00D361B6" w:rsidRPr="00787B5B">
        <w:rPr>
          <w:bCs/>
          <w:szCs w:val="28"/>
        </w:rPr>
        <w:instrText>,</w:instrText>
      </w:r>
      <w:r w:rsidR="00D361B6" w:rsidRPr="00787B5B">
        <w:rPr>
          <w:bCs/>
          <w:szCs w:val="28"/>
        </w:rPr>
        <w:br/>
        <w:instrText>100 Wn.2d 188, 668 P.2d 571 (1983)</w:instrText>
      </w:r>
      <w:r w:rsidR="00D361B6">
        <w:instrText xml:space="preserve">" \s "Brown v. Spokane, 100 Wn.2d 188" \c 1 </w:instrText>
      </w:r>
      <w:r w:rsidR="00D361B6">
        <w:rPr>
          <w:bCs/>
          <w:szCs w:val="28"/>
        </w:rPr>
        <w:fldChar w:fldCharType="end"/>
      </w:r>
      <w:r w:rsidRPr="00D361B6">
        <w:rPr>
          <w:bCs/>
          <w:szCs w:val="28"/>
        </w:rPr>
        <w:t>.</w:t>
      </w:r>
    </w:p>
  </w:footnote>
  <w:footnote w:id="22">
    <w:p w14:paraId="0C9F1F89" w14:textId="72BAE920" w:rsidR="00123D75" w:rsidRDefault="00123D75" w:rsidP="00123D75">
      <w:pPr>
        <w:pStyle w:val="FootnoteText"/>
      </w:pPr>
      <w:r>
        <w:rPr>
          <w:rStyle w:val="FootnoteReference"/>
        </w:rPr>
        <w:footnoteRef/>
      </w:r>
      <w:r>
        <w:t xml:space="preserve"> </w:t>
      </w:r>
      <w:r w:rsidR="00066F2D">
        <w:rPr>
          <w:szCs w:val="28"/>
        </w:rPr>
        <w:t>T</w:t>
      </w:r>
      <w:r w:rsidRPr="00644ACC">
        <w:rPr>
          <w:szCs w:val="28"/>
        </w:rPr>
        <w:t xml:space="preserve">he record shows </w:t>
      </w:r>
      <w:r w:rsidR="0083677A">
        <w:rPr>
          <w:szCs w:val="28"/>
        </w:rPr>
        <w:t xml:space="preserve">that </w:t>
      </w:r>
      <w:r w:rsidRPr="00644ACC">
        <w:rPr>
          <w:szCs w:val="28"/>
        </w:rPr>
        <w:t xml:space="preserve">Dr. </w:t>
      </w:r>
      <w:proofErr w:type="spellStart"/>
      <w:r w:rsidRPr="00644ACC">
        <w:rPr>
          <w:szCs w:val="28"/>
        </w:rPr>
        <w:t>Perrillo’s</w:t>
      </w:r>
      <w:proofErr w:type="spellEnd"/>
      <w:r w:rsidRPr="00644ACC">
        <w:rPr>
          <w:szCs w:val="28"/>
        </w:rPr>
        <w:t xml:space="preserve"> methods </w:t>
      </w:r>
      <w:r w:rsidRPr="00644ACC">
        <w:rPr>
          <w:i/>
          <w:iCs/>
          <w:szCs w:val="28"/>
        </w:rPr>
        <w:t>are</w:t>
      </w:r>
      <w:r w:rsidRPr="00644ACC">
        <w:rPr>
          <w:szCs w:val="28"/>
        </w:rPr>
        <w:t xml:space="preserve"> generally accepted.</w:t>
      </w:r>
      <w:r>
        <w:rPr>
          <w:szCs w:val="28"/>
        </w:rPr>
        <w:t xml:space="preserve"> </w:t>
      </w:r>
      <w:r w:rsidRPr="00644ACC">
        <w:rPr>
          <w:szCs w:val="28"/>
        </w:rPr>
        <w:t xml:space="preserve">Monsanto’s expert, Dr. </w:t>
      </w:r>
      <w:r w:rsidRPr="003E4F43">
        <w:rPr>
          <w:szCs w:val="28"/>
        </w:rPr>
        <w:t>Schoenberg, testified that “the use of composite scores is common” in neuropsychology. CP 9969. As Monsanto concedes (at 115-18 &amp; n.27), other neuropsychology experts have recommended that “clinicians</w:t>
      </w:r>
      <w:r w:rsidRPr="00644ACC">
        <w:rPr>
          <w:szCs w:val="28"/>
        </w:rPr>
        <w:t xml:space="preserve"> </w:t>
      </w:r>
      <w:r>
        <w:rPr>
          <w:szCs w:val="28"/>
        </w:rPr>
        <w:t xml:space="preserve">may </w:t>
      </w:r>
      <w:r w:rsidRPr="00644ACC">
        <w:rPr>
          <w:szCs w:val="28"/>
        </w:rPr>
        <w:t xml:space="preserve">choose to compute a mean scale (or other standard) score across all EF tasks as such composites have been repeatedly shown to be more reliable than individual tasks.” </w:t>
      </w:r>
      <w:proofErr w:type="spellStart"/>
      <w:r w:rsidRPr="003E4F43">
        <w:rPr>
          <w:szCs w:val="28"/>
        </w:rPr>
        <w:t>Suchy</w:t>
      </w:r>
      <w:proofErr w:type="spellEnd"/>
      <w:r w:rsidRPr="003E4F43">
        <w:rPr>
          <w:szCs w:val="28"/>
        </w:rPr>
        <w:t xml:space="preserve">, </w:t>
      </w:r>
      <w:r w:rsidRPr="003E4F43">
        <w:rPr>
          <w:i/>
          <w:iCs/>
          <w:szCs w:val="28"/>
        </w:rPr>
        <w:t>Executive Functioning: A Comprehensive Guide for Clinical Practice</w:t>
      </w:r>
      <w:r w:rsidRPr="003E4F43">
        <w:rPr>
          <w:szCs w:val="28"/>
        </w:rPr>
        <w:t xml:space="preserve"> 129-31 (Oxford Univ. Press 2016)</w:t>
      </w:r>
      <w:r w:rsidR="003E4F43">
        <w:rPr>
          <w:szCs w:val="28"/>
        </w:rPr>
        <w:fldChar w:fldCharType="begin"/>
      </w:r>
      <w:r w:rsidR="003E4F43">
        <w:instrText xml:space="preserve"> TA \l "</w:instrText>
      </w:r>
      <w:r w:rsidR="003E4F43" w:rsidRPr="00787B5B">
        <w:rPr>
          <w:szCs w:val="28"/>
        </w:rPr>
        <w:instrText>Yana Suchy,</w:instrText>
      </w:r>
      <w:r w:rsidR="003E4F43" w:rsidRPr="00787B5B">
        <w:rPr>
          <w:szCs w:val="28"/>
        </w:rPr>
        <w:br/>
      </w:r>
      <w:r w:rsidR="003E4F43" w:rsidRPr="00787B5B">
        <w:rPr>
          <w:i/>
          <w:iCs/>
          <w:szCs w:val="28"/>
        </w:rPr>
        <w:instrText>Executive Functioning: A Comprehensive Guide for Clinical Practice</w:instrText>
      </w:r>
      <w:r w:rsidR="003E4F43" w:rsidRPr="00787B5B">
        <w:rPr>
          <w:szCs w:val="28"/>
        </w:rPr>
        <w:instrText xml:space="preserve"> (Oxford Univ. Press 2016)</w:instrText>
      </w:r>
      <w:r w:rsidR="003E4F43">
        <w:instrText xml:space="preserve">" \s "Yana Suchy, Executive Functioning: A Comprehensive Guide for Clinical Practice 129-31 (Oxford Univ. Press 2016)" \c 3 </w:instrText>
      </w:r>
      <w:r w:rsidR="003E4F43">
        <w:rPr>
          <w:szCs w:val="28"/>
        </w:rPr>
        <w:fldChar w:fldCharType="end"/>
      </w:r>
      <w:r w:rsidRPr="003E4F43">
        <w:rPr>
          <w:szCs w:val="28"/>
        </w:rPr>
        <w:t>; CP 7316. That</w:t>
      </w:r>
      <w:r w:rsidR="00E454A9">
        <w:rPr>
          <w:szCs w:val="28"/>
        </w:rPr>
        <w:t>’</w:t>
      </w:r>
      <w:r w:rsidRPr="003E4F43">
        <w:rPr>
          <w:szCs w:val="28"/>
        </w:rPr>
        <w:t>s enough</w:t>
      </w:r>
      <w:r w:rsidRPr="00644ACC">
        <w:rPr>
          <w:szCs w:val="28"/>
        </w:rPr>
        <w:t xml:space="preserve"> to overcome Monsanto’s (waived) </w:t>
      </w:r>
      <w:r w:rsidRPr="00215A23">
        <w:rPr>
          <w:i/>
          <w:iCs/>
          <w:szCs w:val="28"/>
        </w:rPr>
        <w:t>Frye</w:t>
      </w:r>
      <w:r w:rsidRPr="00644ACC">
        <w:rPr>
          <w:szCs w:val="28"/>
        </w:rPr>
        <w:t xml:space="preserve"> </w:t>
      </w:r>
      <w:r>
        <w:rPr>
          <w:szCs w:val="28"/>
        </w:rPr>
        <w:t>objection</w:t>
      </w:r>
      <w:r w:rsidRPr="00644ACC">
        <w:rPr>
          <w:szCs w:val="28"/>
        </w:rPr>
        <w:t xml:space="preserve">. </w:t>
      </w:r>
    </w:p>
  </w:footnote>
  <w:footnote w:id="23">
    <w:p w14:paraId="4F8991F3" w14:textId="212DF320" w:rsidR="00123D75" w:rsidRDefault="00123D75" w:rsidP="00123D75">
      <w:pPr>
        <w:pStyle w:val="FootnoteText"/>
      </w:pPr>
      <w:r>
        <w:rPr>
          <w:rStyle w:val="FootnoteReference"/>
        </w:rPr>
        <w:footnoteRef/>
      </w:r>
      <w:r>
        <w:t xml:space="preserve"> </w:t>
      </w:r>
      <w:r w:rsidRPr="002F591B">
        <w:rPr>
          <w:i/>
          <w:iCs/>
        </w:rPr>
        <w:t>See, e.g.</w:t>
      </w:r>
      <w:r w:rsidRPr="00144AFD">
        <w:t xml:space="preserve">, </w:t>
      </w:r>
      <w:proofErr w:type="spellStart"/>
      <w:r w:rsidRPr="003E4F43">
        <w:rPr>
          <w:i/>
          <w:iCs/>
        </w:rPr>
        <w:t>Chinnock</w:t>
      </w:r>
      <w:proofErr w:type="spellEnd"/>
      <w:r w:rsidRPr="003E4F43">
        <w:t>, 2022 WL 1469545 at *2</w:t>
      </w:r>
      <w:r w:rsidR="003E4F43">
        <w:fldChar w:fldCharType="begin"/>
      </w:r>
      <w:r w:rsidR="003E4F43">
        <w:instrText xml:space="preserve"> TA \s "Chinnock v. Safeco, 2022 WL 1469545" </w:instrText>
      </w:r>
      <w:r w:rsidR="003E4F43">
        <w:fldChar w:fldCharType="end"/>
      </w:r>
      <w:r w:rsidRPr="00144AFD">
        <w:t xml:space="preserve">; </w:t>
      </w:r>
      <w:r w:rsidRPr="003E4F43">
        <w:rPr>
          <w:i/>
          <w:iCs/>
        </w:rPr>
        <w:t>Doe</w:t>
      </w:r>
      <w:r w:rsidRPr="003E4F43">
        <w:t>, 245 F. Supp. 3d at 1181-83</w:t>
      </w:r>
      <w:r w:rsidR="003E4F43">
        <w:fldChar w:fldCharType="begin"/>
      </w:r>
      <w:r w:rsidR="003E4F43">
        <w:instrText xml:space="preserve"> TA \s "Doe v. Prudential, 245 F. Supp. 3d 1172" </w:instrText>
      </w:r>
      <w:r w:rsidR="003E4F43">
        <w:fldChar w:fldCharType="end"/>
      </w:r>
      <w:r w:rsidRPr="003E4F43">
        <w:t xml:space="preserve">; </w:t>
      </w:r>
      <w:proofErr w:type="spellStart"/>
      <w:r w:rsidRPr="003E4F43">
        <w:rPr>
          <w:i/>
          <w:iCs/>
        </w:rPr>
        <w:t>Perea</w:t>
      </w:r>
      <w:proofErr w:type="spellEnd"/>
      <w:r w:rsidRPr="003E4F43">
        <w:rPr>
          <w:i/>
          <w:iCs/>
        </w:rPr>
        <w:t xml:space="preserve"> v. Conner</w:t>
      </w:r>
      <w:r w:rsidRPr="003E4F43">
        <w:t>, 2015 WL 11111478, at *3 (D.N.M. Apr. 8, 2015)</w:t>
      </w:r>
      <w:r w:rsidR="003E4F43">
        <w:fldChar w:fldCharType="begin"/>
      </w:r>
      <w:r w:rsidR="003E4F43">
        <w:instrText xml:space="preserve"> TA \l "</w:instrText>
      </w:r>
      <w:r w:rsidR="003E4F43" w:rsidRPr="00787B5B">
        <w:rPr>
          <w:i/>
          <w:iCs/>
        </w:rPr>
        <w:instrText>Perea v. Conner</w:instrText>
      </w:r>
      <w:r w:rsidR="003E4F43" w:rsidRPr="00787B5B">
        <w:instrText>,</w:instrText>
      </w:r>
      <w:r w:rsidR="003E4F43" w:rsidRPr="00787B5B">
        <w:br/>
        <w:instrText>2015 WL 11111478 (D.N.M. Apr. 8, 2015)</w:instrText>
      </w:r>
      <w:r w:rsidR="003E4F43">
        <w:instrText xml:space="preserve">" \s "Perea v. Conner, 2015 WL 11111478" \c 1 </w:instrText>
      </w:r>
      <w:r w:rsidR="003E4F43">
        <w:fldChar w:fldCharType="end"/>
      </w:r>
      <w:r w:rsidRPr="003E4F43">
        <w:t xml:space="preserve"> (denying</w:t>
      </w:r>
      <w:r w:rsidRPr="00144AFD">
        <w:t xml:space="preserve"> defendant’s motion to preclude Dr. </w:t>
      </w:r>
      <w:proofErr w:type="spellStart"/>
      <w:r w:rsidRPr="00144AFD">
        <w:t>Perrillo</w:t>
      </w:r>
      <w:proofErr w:type="spellEnd"/>
      <w:r w:rsidRPr="00144AFD">
        <w:t xml:space="preserve"> from testifying “as to [l]egal [c]</w:t>
      </w:r>
      <w:proofErr w:type="spellStart"/>
      <w:r w:rsidRPr="00144AFD">
        <w:t>ausation</w:t>
      </w:r>
      <w:proofErr w:type="spellEnd"/>
      <w:r w:rsidRPr="00144AFD">
        <w:t xml:space="preserve"> of” the plaintiff’s brain injury).</w:t>
      </w:r>
    </w:p>
  </w:footnote>
  <w:footnote w:id="24">
    <w:p w14:paraId="2221AF24" w14:textId="304A69F5" w:rsidR="004362B3" w:rsidRPr="00406AC7" w:rsidRDefault="004362B3" w:rsidP="004362B3">
      <w:pPr>
        <w:pStyle w:val="FootnoteText"/>
        <w:ind w:right="60" w:firstLine="720"/>
        <w:rPr>
          <w:szCs w:val="28"/>
        </w:rPr>
      </w:pPr>
      <w:r w:rsidRPr="00406AC7">
        <w:rPr>
          <w:rStyle w:val="FootnoteReference"/>
          <w:szCs w:val="28"/>
        </w:rPr>
        <w:footnoteRef/>
      </w:r>
      <w:r w:rsidRPr="00406AC7">
        <w:rPr>
          <w:szCs w:val="28"/>
        </w:rPr>
        <w:t xml:space="preserve"> </w:t>
      </w:r>
      <w:r w:rsidRPr="00EF6840">
        <w:rPr>
          <w:i/>
          <w:iCs/>
          <w:szCs w:val="28"/>
        </w:rPr>
        <w:t>See also</w:t>
      </w:r>
      <w:r w:rsidRPr="00EF6840">
        <w:rPr>
          <w:szCs w:val="28"/>
        </w:rPr>
        <w:t xml:space="preserve"> </w:t>
      </w:r>
      <w:proofErr w:type="spellStart"/>
      <w:r w:rsidRPr="00EF6840">
        <w:rPr>
          <w:i/>
          <w:iCs/>
          <w:szCs w:val="28"/>
        </w:rPr>
        <w:t>Abuan</w:t>
      </w:r>
      <w:proofErr w:type="spellEnd"/>
      <w:r w:rsidRPr="00EF6840">
        <w:rPr>
          <w:i/>
          <w:iCs/>
          <w:szCs w:val="28"/>
        </w:rPr>
        <w:t xml:space="preserve"> v. Gen. Elec. Co.</w:t>
      </w:r>
      <w:r w:rsidRPr="00EF6840">
        <w:rPr>
          <w:szCs w:val="28"/>
        </w:rPr>
        <w:t>, 3 F.3d 329, 333 (9th Cir. 1993)</w:t>
      </w:r>
      <w:r w:rsidR="00EF6840">
        <w:rPr>
          <w:szCs w:val="28"/>
        </w:rPr>
        <w:fldChar w:fldCharType="begin"/>
      </w:r>
      <w:r w:rsidR="00EF6840">
        <w:instrText xml:space="preserve"> TA \l "</w:instrText>
      </w:r>
      <w:r w:rsidR="00EF6840" w:rsidRPr="004E2E4B">
        <w:rPr>
          <w:i/>
          <w:iCs/>
          <w:szCs w:val="28"/>
        </w:rPr>
        <w:instrText>Abuan v. General Electric Co.</w:instrText>
      </w:r>
      <w:r w:rsidR="00EF6840" w:rsidRPr="004E2E4B">
        <w:rPr>
          <w:szCs w:val="28"/>
        </w:rPr>
        <w:instrText>,</w:instrText>
      </w:r>
      <w:r w:rsidR="00EF6840" w:rsidRPr="004E2E4B">
        <w:rPr>
          <w:szCs w:val="28"/>
        </w:rPr>
        <w:br/>
        <w:instrText>3 F.3d 329 (9th Cir. 1993)</w:instrText>
      </w:r>
      <w:r w:rsidR="00EF6840">
        <w:instrText xml:space="preserve">" \s "Abuan v. GE, 3 F.3d 329" \c 1 </w:instrText>
      </w:r>
      <w:r w:rsidR="00EF6840">
        <w:rPr>
          <w:szCs w:val="28"/>
        </w:rPr>
        <w:fldChar w:fldCharType="end"/>
      </w:r>
      <w:r w:rsidRPr="00EF6840">
        <w:rPr>
          <w:szCs w:val="28"/>
        </w:rPr>
        <w:t xml:space="preserve"> (“[P]</w:t>
      </w:r>
      <w:proofErr w:type="spellStart"/>
      <w:r w:rsidRPr="00EF6840">
        <w:rPr>
          <w:szCs w:val="28"/>
        </w:rPr>
        <w:t>recise</w:t>
      </w:r>
      <w:proofErr w:type="spellEnd"/>
      <w:r w:rsidRPr="00EF6840">
        <w:rPr>
          <w:szCs w:val="28"/>
        </w:rPr>
        <w:t xml:space="preserve"> data on the exact degree of exposure to each chemical’ is not required.”); </w:t>
      </w:r>
      <w:r w:rsidRPr="00EF6840">
        <w:rPr>
          <w:i/>
          <w:iCs/>
          <w:szCs w:val="28"/>
        </w:rPr>
        <w:t>Henricksen v. ConocoPhillips Co.</w:t>
      </w:r>
      <w:r w:rsidRPr="00EF6840">
        <w:rPr>
          <w:szCs w:val="28"/>
        </w:rPr>
        <w:t>, 605 F. Supp. 2d 1142, 1157 (E.D. Wash. 2009)</w:t>
      </w:r>
      <w:r w:rsidR="00EF6840">
        <w:rPr>
          <w:szCs w:val="28"/>
        </w:rPr>
        <w:fldChar w:fldCharType="begin"/>
      </w:r>
      <w:r w:rsidR="00EF6840">
        <w:instrText xml:space="preserve"> TA \l "</w:instrText>
      </w:r>
      <w:r w:rsidR="00EF6840" w:rsidRPr="004E2E4B">
        <w:rPr>
          <w:i/>
          <w:iCs/>
          <w:szCs w:val="28"/>
        </w:rPr>
        <w:instrText>Henricksen v. ConocoPhillips Co.</w:instrText>
      </w:r>
      <w:r w:rsidR="00EF6840" w:rsidRPr="004E2E4B">
        <w:rPr>
          <w:szCs w:val="28"/>
        </w:rPr>
        <w:instrText>,</w:instrText>
      </w:r>
      <w:r w:rsidR="00EF6840" w:rsidRPr="004E2E4B">
        <w:rPr>
          <w:szCs w:val="28"/>
        </w:rPr>
        <w:br/>
        <w:instrText>605 F. Supp. 2d 1142 (E.D. Wash. 2009)</w:instrText>
      </w:r>
      <w:r w:rsidR="00EF6840">
        <w:instrText xml:space="preserve">" \s "Henricksen, 605 F. Supp. 2d 1142" \c 1 </w:instrText>
      </w:r>
      <w:r w:rsidR="00EF6840">
        <w:rPr>
          <w:szCs w:val="28"/>
        </w:rPr>
        <w:fldChar w:fldCharType="end"/>
      </w:r>
      <w:r w:rsidRPr="00EF6840">
        <w:rPr>
          <w:szCs w:val="28"/>
        </w:rPr>
        <w:t xml:space="preserve"> (It</w:t>
      </w:r>
      <w:r>
        <w:rPr>
          <w:szCs w:val="28"/>
        </w:rPr>
        <w:t xml:space="preserve"> is </w:t>
      </w:r>
      <w:r w:rsidRPr="00406AC7">
        <w:rPr>
          <w:szCs w:val="28"/>
        </w:rPr>
        <w:t>“not always necessary for a plaintiff to quantify exposure levels precisely</w:t>
      </w:r>
      <w:r>
        <w:rPr>
          <w:szCs w:val="28"/>
        </w:rPr>
        <w:t>.</w:t>
      </w:r>
      <w:r w:rsidRPr="00406AC7">
        <w:rPr>
          <w:szCs w:val="28"/>
        </w:rPr>
        <w:t>”).</w:t>
      </w:r>
    </w:p>
  </w:footnote>
  <w:footnote w:id="25">
    <w:p w14:paraId="6042B498" w14:textId="4CC04058" w:rsidR="004362B3" w:rsidRPr="00434A25" w:rsidRDefault="004362B3" w:rsidP="0083677A">
      <w:pPr>
        <w:pStyle w:val="FootnoteText"/>
        <w:ind w:right="60" w:firstLine="720"/>
        <w:rPr>
          <w:szCs w:val="28"/>
        </w:rPr>
      </w:pPr>
      <w:r w:rsidRPr="00434A25">
        <w:rPr>
          <w:rStyle w:val="FootnoteReference"/>
          <w:szCs w:val="28"/>
        </w:rPr>
        <w:footnoteRef/>
      </w:r>
      <w:r w:rsidRPr="00434A25">
        <w:rPr>
          <w:szCs w:val="28"/>
        </w:rPr>
        <w:t xml:space="preserve"> Monsanto repeatedly insists that the plaintiffs’ estimated levels of exposure fell below OSHA’s and Washington State’s exposure limits. Br. 15, 17, 127</w:t>
      </w:r>
      <w:r w:rsidR="00EF4959">
        <w:rPr>
          <w:szCs w:val="28"/>
        </w:rPr>
        <w:t>,</w:t>
      </w:r>
      <w:r w:rsidRPr="00434A25">
        <w:rPr>
          <w:szCs w:val="28"/>
        </w:rPr>
        <w:t xml:space="preserve"> 132, 141-42. But, again, the</w:t>
      </w:r>
      <w:r w:rsidRPr="00406AC7">
        <w:rPr>
          <w:szCs w:val="28"/>
        </w:rPr>
        <w:t xml:space="preserve"> company simply ignores the trial evidence</w:t>
      </w:r>
      <w:r>
        <w:rPr>
          <w:szCs w:val="28"/>
        </w:rPr>
        <w:t xml:space="preserve">—including statements from </w:t>
      </w:r>
      <w:r w:rsidRPr="00434A25">
        <w:rPr>
          <w:szCs w:val="28"/>
        </w:rPr>
        <w:t xml:space="preserve">OSHA—establishing that these limits are both outdated and poorly suited for determining safe exposure levels in the school environment. </w:t>
      </w:r>
      <w:r w:rsidRPr="00434A25">
        <w:rPr>
          <w:i/>
          <w:iCs/>
          <w:szCs w:val="28"/>
        </w:rPr>
        <w:t xml:space="preserve">See </w:t>
      </w:r>
      <w:r w:rsidRPr="00434A25">
        <w:rPr>
          <w:szCs w:val="28"/>
        </w:rPr>
        <w:t>Tr. 2038-41; P-</w:t>
      </w:r>
      <w:r w:rsidR="00E47F39">
        <w:rPr>
          <w:szCs w:val="28"/>
        </w:rPr>
        <w:t>1823 at 3</w:t>
      </w:r>
      <w:r w:rsidRPr="00434A25">
        <w:rPr>
          <w:szCs w:val="28"/>
        </w:rPr>
        <w:t>.</w:t>
      </w:r>
    </w:p>
  </w:footnote>
  <w:footnote w:id="26">
    <w:p w14:paraId="7A171038" w14:textId="77777777" w:rsidR="004362B3" w:rsidRDefault="004362B3" w:rsidP="004362B3">
      <w:pPr>
        <w:pStyle w:val="FootnoteText"/>
      </w:pPr>
      <w:r w:rsidRPr="00434A25">
        <w:rPr>
          <w:rStyle w:val="FootnoteReference"/>
        </w:rPr>
        <w:footnoteRef/>
      </w:r>
      <w:r w:rsidRPr="00434A25">
        <w:t xml:space="preserve"> </w:t>
      </w:r>
      <w:r w:rsidRPr="00434A25">
        <w:rPr>
          <w:szCs w:val="28"/>
        </w:rPr>
        <w:t xml:space="preserve">This extensive evidence of exposures demonstrates that Monsanto’s reliance (at 133-35) on </w:t>
      </w:r>
      <w:r w:rsidRPr="00434A25">
        <w:rPr>
          <w:i/>
          <w:iCs/>
          <w:szCs w:val="28"/>
        </w:rPr>
        <w:t>Potter</w:t>
      </w:r>
      <w:r w:rsidRPr="00434A25">
        <w:rPr>
          <w:szCs w:val="28"/>
        </w:rPr>
        <w:t xml:space="preserve"> is misplaced</w:t>
      </w:r>
      <w:r w:rsidRPr="00406AC7">
        <w:rPr>
          <w:szCs w:val="28"/>
        </w:rPr>
        <w:t xml:space="preserve">: </w:t>
      </w:r>
      <w:r>
        <w:rPr>
          <w:szCs w:val="28"/>
        </w:rPr>
        <w:t xml:space="preserve">In </w:t>
      </w:r>
      <w:r>
        <w:rPr>
          <w:i/>
          <w:iCs/>
          <w:szCs w:val="28"/>
        </w:rPr>
        <w:t>Potter</w:t>
      </w:r>
      <w:r w:rsidRPr="00406AC7">
        <w:rPr>
          <w:szCs w:val="28"/>
        </w:rPr>
        <w:t>, “there [</w:t>
      </w:r>
      <w:proofErr w:type="spellStart"/>
      <w:r w:rsidRPr="00406AC7">
        <w:rPr>
          <w:szCs w:val="28"/>
        </w:rPr>
        <w:t>wa</w:t>
      </w:r>
      <w:proofErr w:type="spellEnd"/>
      <w:r w:rsidRPr="00406AC7">
        <w:rPr>
          <w:szCs w:val="28"/>
        </w:rPr>
        <w:t xml:space="preserve">]s </w:t>
      </w:r>
      <w:r w:rsidRPr="00406AC7">
        <w:rPr>
          <w:i/>
          <w:iCs/>
          <w:szCs w:val="28"/>
        </w:rPr>
        <w:t>no</w:t>
      </w:r>
      <w:r w:rsidRPr="00406AC7">
        <w:rPr>
          <w:szCs w:val="28"/>
        </w:rPr>
        <w:t xml:space="preserve"> objective evidence in the record that Potter was </w:t>
      </w:r>
      <w:r w:rsidRPr="00434A25">
        <w:rPr>
          <w:szCs w:val="28"/>
        </w:rPr>
        <w:t xml:space="preserve">exposed at her office to chemicals at levels” capable of causing her injuries. 172 </w:t>
      </w:r>
      <w:proofErr w:type="spellStart"/>
      <w:r w:rsidRPr="00434A25">
        <w:rPr>
          <w:szCs w:val="28"/>
        </w:rPr>
        <w:t>Wn</w:t>
      </w:r>
      <w:proofErr w:type="spellEnd"/>
      <w:r w:rsidRPr="00434A25">
        <w:rPr>
          <w:szCs w:val="28"/>
        </w:rPr>
        <w:t>. App. at 312, 316 (emphasis added). Here</w:t>
      </w:r>
      <w:r w:rsidRPr="00406AC7">
        <w:rPr>
          <w:szCs w:val="28"/>
        </w:rPr>
        <w:t xml:space="preserve">, </w:t>
      </w:r>
      <w:r>
        <w:rPr>
          <w:szCs w:val="28"/>
        </w:rPr>
        <w:t>there is.</w:t>
      </w:r>
    </w:p>
  </w:footnote>
  <w:footnote w:id="27">
    <w:p w14:paraId="61D63A50" w14:textId="334B295C" w:rsidR="004362B3" w:rsidRPr="00406AC7" w:rsidRDefault="004362B3" w:rsidP="004362B3">
      <w:pPr>
        <w:pStyle w:val="FootnoteText"/>
        <w:ind w:right="60" w:firstLine="720"/>
        <w:rPr>
          <w:szCs w:val="28"/>
        </w:rPr>
      </w:pPr>
      <w:r w:rsidRPr="00406AC7">
        <w:rPr>
          <w:rStyle w:val="FootnoteReference"/>
          <w:szCs w:val="28"/>
        </w:rPr>
        <w:footnoteRef/>
      </w:r>
      <w:r w:rsidRPr="00406AC7">
        <w:rPr>
          <w:szCs w:val="28"/>
        </w:rPr>
        <w:t xml:space="preserve"> </w:t>
      </w:r>
      <w:r w:rsidRPr="00434A25">
        <w:rPr>
          <w:szCs w:val="28"/>
        </w:rPr>
        <w:t xml:space="preserve">Monsanto’s argument (at 151-52) that the superior court’s reliance on </w:t>
      </w:r>
      <w:proofErr w:type="spellStart"/>
      <w:r w:rsidRPr="00434A25">
        <w:rPr>
          <w:i/>
          <w:iCs/>
          <w:szCs w:val="28"/>
        </w:rPr>
        <w:t>Intalco</w:t>
      </w:r>
      <w:proofErr w:type="spellEnd"/>
      <w:r w:rsidRPr="00434A25">
        <w:rPr>
          <w:szCs w:val="28"/>
        </w:rPr>
        <w:t xml:space="preserve"> was “misplaced” is wrong</w:t>
      </w:r>
      <w:r>
        <w:rPr>
          <w:szCs w:val="28"/>
        </w:rPr>
        <w:t>.</w:t>
      </w:r>
      <w:r w:rsidRPr="00406AC7">
        <w:rPr>
          <w:szCs w:val="28"/>
        </w:rPr>
        <w:t xml:space="preserve"> As explained, the plaintiffs presented significant evidence of PCB exposure; the level of toxin exposure need not </w:t>
      </w:r>
      <w:r>
        <w:rPr>
          <w:szCs w:val="28"/>
        </w:rPr>
        <w:t>match the 12-years of exposure</w:t>
      </w:r>
      <w:r w:rsidRPr="00406AC7">
        <w:rPr>
          <w:szCs w:val="28"/>
        </w:rPr>
        <w:t xml:space="preserve"> in </w:t>
      </w:r>
      <w:proofErr w:type="spellStart"/>
      <w:r w:rsidRPr="00406AC7">
        <w:rPr>
          <w:i/>
          <w:iCs/>
          <w:szCs w:val="28"/>
        </w:rPr>
        <w:t>Intalco</w:t>
      </w:r>
      <w:proofErr w:type="spellEnd"/>
      <w:r w:rsidRPr="00406AC7">
        <w:rPr>
          <w:i/>
          <w:iCs/>
          <w:szCs w:val="28"/>
        </w:rPr>
        <w:t xml:space="preserve"> </w:t>
      </w:r>
      <w:r w:rsidRPr="00406AC7">
        <w:rPr>
          <w:szCs w:val="28"/>
        </w:rPr>
        <w:t>to meet the “more probable than not” standard. And the fact that Dr. Dahlgren wasn</w:t>
      </w:r>
      <w:r w:rsidR="0083677A">
        <w:rPr>
          <w:szCs w:val="28"/>
        </w:rPr>
        <w:t>’</w:t>
      </w:r>
      <w:r w:rsidRPr="00406AC7">
        <w:rPr>
          <w:szCs w:val="28"/>
        </w:rPr>
        <w:t>t the plaintiffs’ attending physician doesn</w:t>
      </w:r>
      <w:r w:rsidR="0083677A">
        <w:rPr>
          <w:szCs w:val="28"/>
        </w:rPr>
        <w:t>’</w:t>
      </w:r>
      <w:r w:rsidRPr="00406AC7">
        <w:rPr>
          <w:szCs w:val="28"/>
        </w:rPr>
        <w:t xml:space="preserve">t undermine his testimony: his credibility and the weight to be given to </w:t>
      </w:r>
      <w:r>
        <w:rPr>
          <w:szCs w:val="28"/>
        </w:rPr>
        <w:t>his opinions</w:t>
      </w:r>
      <w:r w:rsidRPr="00406AC7">
        <w:rPr>
          <w:szCs w:val="28"/>
        </w:rPr>
        <w:t xml:space="preserve"> are firmly “within the jury’s province.” </w:t>
      </w:r>
      <w:r w:rsidR="00C52BBF">
        <w:rPr>
          <w:i/>
          <w:iCs/>
          <w:szCs w:val="28"/>
        </w:rPr>
        <w:t xml:space="preserve">City of Bellevue v. </w:t>
      </w:r>
      <w:proofErr w:type="spellStart"/>
      <w:r w:rsidRPr="00DE66CD">
        <w:rPr>
          <w:i/>
          <w:iCs/>
          <w:szCs w:val="28"/>
        </w:rPr>
        <w:t>Raum</w:t>
      </w:r>
      <w:proofErr w:type="spellEnd"/>
      <w:r w:rsidRPr="00DE66CD">
        <w:rPr>
          <w:szCs w:val="28"/>
        </w:rPr>
        <w:t xml:space="preserve">, 171 </w:t>
      </w:r>
      <w:proofErr w:type="spellStart"/>
      <w:r w:rsidRPr="00DE66CD">
        <w:rPr>
          <w:szCs w:val="28"/>
        </w:rPr>
        <w:t>Wn</w:t>
      </w:r>
      <w:proofErr w:type="spellEnd"/>
      <w:r w:rsidRPr="00DE66CD">
        <w:rPr>
          <w:szCs w:val="28"/>
        </w:rPr>
        <w:t>. App.</w:t>
      </w:r>
      <w:r w:rsidR="00C52BBF">
        <w:rPr>
          <w:szCs w:val="28"/>
        </w:rPr>
        <w:t xml:space="preserve"> 644, </w:t>
      </w:r>
      <w:r w:rsidRPr="00DE66CD">
        <w:rPr>
          <w:szCs w:val="28"/>
        </w:rPr>
        <w:t>154 n.25</w:t>
      </w:r>
      <w:r w:rsidR="00C52BBF">
        <w:rPr>
          <w:szCs w:val="28"/>
        </w:rPr>
        <w:t>, 833 P.2d 390 (1992)</w:t>
      </w:r>
      <w:r w:rsidR="00DE66CD">
        <w:rPr>
          <w:szCs w:val="28"/>
        </w:rPr>
        <w:fldChar w:fldCharType="begin"/>
      </w:r>
      <w:r w:rsidR="00DE66CD">
        <w:instrText xml:space="preserve"> TA \s "Bellevue v. Raum, 171 Wn. App. 124" </w:instrText>
      </w:r>
      <w:r w:rsidR="00DE66CD">
        <w:rPr>
          <w:szCs w:val="28"/>
        </w:rPr>
        <w:fldChar w:fldCharType="end"/>
      </w:r>
      <w:r w:rsidRPr="00DE66CD">
        <w:rPr>
          <w:szCs w:val="28"/>
        </w:rPr>
        <w:t>.</w:t>
      </w:r>
      <w:r w:rsidRPr="00406AC7">
        <w:rPr>
          <w:szCs w:val="28"/>
        </w:rPr>
        <w:t xml:space="preserve"> </w:t>
      </w:r>
    </w:p>
  </w:footnote>
  <w:footnote w:id="28">
    <w:p w14:paraId="7DBCFF1C" w14:textId="569AD86F" w:rsidR="00863A3B" w:rsidRPr="00406AC7" w:rsidRDefault="00863A3B" w:rsidP="00863A3B">
      <w:pPr>
        <w:pStyle w:val="FootnoteText"/>
        <w:ind w:firstLine="710"/>
        <w:rPr>
          <w:szCs w:val="28"/>
        </w:rPr>
      </w:pPr>
      <w:r w:rsidRPr="00406AC7">
        <w:rPr>
          <w:rStyle w:val="FootnoteReference"/>
          <w:szCs w:val="28"/>
        </w:rPr>
        <w:footnoteRef/>
      </w:r>
      <w:r w:rsidRPr="00406AC7">
        <w:rPr>
          <w:szCs w:val="28"/>
        </w:rPr>
        <w:t xml:space="preserve"> Monsanto also insinuates that the school district had knowledge of EPA guidance from 2000</w:t>
      </w:r>
      <w:r>
        <w:rPr>
          <w:szCs w:val="28"/>
        </w:rPr>
        <w:t xml:space="preserve"> (</w:t>
      </w:r>
      <w:r w:rsidRPr="00406AC7">
        <w:rPr>
          <w:szCs w:val="28"/>
        </w:rPr>
        <w:t>ten years before Sky Valley opened</w:t>
      </w:r>
      <w:r>
        <w:rPr>
          <w:szCs w:val="28"/>
        </w:rPr>
        <w:t>)</w:t>
      </w:r>
      <w:r w:rsidRPr="00406AC7">
        <w:rPr>
          <w:szCs w:val="28"/>
        </w:rPr>
        <w:t xml:space="preserve"> that addressed PCBs</w:t>
      </w:r>
      <w:r w:rsidR="00D26EE8">
        <w:rPr>
          <w:szCs w:val="28"/>
        </w:rPr>
        <w:t>. E</w:t>
      </w:r>
      <w:r w:rsidR="00CD29C4">
        <w:rPr>
          <w:szCs w:val="28"/>
        </w:rPr>
        <w:t xml:space="preserve">ven </w:t>
      </w:r>
      <w:proofErr w:type="gramStart"/>
      <w:r w:rsidR="00CD29C4">
        <w:rPr>
          <w:szCs w:val="28"/>
        </w:rPr>
        <w:t>assuming that</w:t>
      </w:r>
      <w:proofErr w:type="gramEnd"/>
      <w:r w:rsidR="00CD29C4">
        <w:rPr>
          <w:szCs w:val="28"/>
        </w:rPr>
        <w:t xml:space="preserve"> guidance </w:t>
      </w:r>
      <w:r w:rsidR="00D26EE8">
        <w:rPr>
          <w:szCs w:val="28"/>
        </w:rPr>
        <w:t>could have put the district on notice</w:t>
      </w:r>
      <w:r w:rsidR="00CD29C4">
        <w:rPr>
          <w:szCs w:val="28"/>
        </w:rPr>
        <w:t xml:space="preserve">, Monsanto relies </w:t>
      </w:r>
      <w:r w:rsidRPr="00513187">
        <w:rPr>
          <w:szCs w:val="28"/>
        </w:rPr>
        <w:t>on speculation from an expert witness, not a district employee, who merely “assume[d]” that the district received the guidance. Tr. 2180. The jury was entitled to reject that speculation.</w:t>
      </w:r>
      <w:r w:rsidRPr="00406AC7">
        <w:rPr>
          <w:szCs w:val="28"/>
        </w:rPr>
        <w:t xml:space="preserve"> </w:t>
      </w:r>
    </w:p>
  </w:footnote>
  <w:footnote w:id="29">
    <w:p w14:paraId="2BB588A2" w14:textId="5EEFA914" w:rsidR="003E25E5" w:rsidRPr="00014E8C" w:rsidRDefault="003E25E5" w:rsidP="003E25E5">
      <w:pPr>
        <w:pStyle w:val="FootnoteText"/>
      </w:pPr>
      <w:r w:rsidRPr="00014E8C">
        <w:rPr>
          <w:rStyle w:val="FootnoteReference"/>
          <w:szCs w:val="28"/>
        </w:rPr>
        <w:footnoteRef/>
      </w:r>
      <w:r w:rsidRPr="00014E8C">
        <w:t xml:space="preserve"> Monsanto also points to </w:t>
      </w:r>
      <w:r w:rsidRPr="0042242D">
        <w:rPr>
          <w:i/>
          <w:iCs/>
        </w:rPr>
        <w:t>Shoemake v. Eli Lilly &amp; Co.</w:t>
      </w:r>
      <w:r w:rsidRPr="0042242D">
        <w:t xml:space="preserve">, 194 </w:t>
      </w:r>
      <w:proofErr w:type="spellStart"/>
      <w:r w:rsidRPr="0042242D">
        <w:t>Wn</w:t>
      </w:r>
      <w:proofErr w:type="spellEnd"/>
      <w:r w:rsidRPr="0042242D">
        <w:t>. App. 1026</w:t>
      </w:r>
      <w:r w:rsidRPr="00014E8C">
        <w:t xml:space="preserve"> (2016)</w:t>
      </w:r>
      <w:r w:rsidR="00A37283">
        <w:fldChar w:fldCharType="begin"/>
      </w:r>
      <w:r w:rsidR="00A37283">
        <w:instrText xml:space="preserve"> TA \l "</w:instrText>
      </w:r>
      <w:r w:rsidR="00A37283" w:rsidRPr="004E2E4B">
        <w:rPr>
          <w:i/>
          <w:iCs/>
        </w:rPr>
        <w:instrText>Shoemake v. Eli Lilly &amp; Co.</w:instrText>
      </w:r>
      <w:r w:rsidR="00A37283" w:rsidRPr="004E2E4B">
        <w:instrText>,</w:instrText>
      </w:r>
      <w:r w:rsidR="00A37283" w:rsidRPr="004E2E4B">
        <w:br/>
        <w:instrText>194 Wn. App. 1026 (2016)</w:instrText>
      </w:r>
      <w:r w:rsidR="00A37283">
        <w:instrText xml:space="preserve">" \s "Shoemake v. Eli Lilly, 194 Wn. App. 1026" \c 1 </w:instrText>
      </w:r>
      <w:r w:rsidR="00A37283">
        <w:fldChar w:fldCharType="end"/>
      </w:r>
      <w:r w:rsidRPr="00014E8C">
        <w:t>, an unreported decision th</w:t>
      </w:r>
      <w:r w:rsidR="00A3398D">
        <w:t>at has</w:t>
      </w:r>
      <w:r w:rsidRPr="00014E8C">
        <w:t xml:space="preserve"> never been cited, as support for its contorted reading of </w:t>
      </w:r>
      <w:proofErr w:type="spellStart"/>
      <w:r w:rsidRPr="00014E8C">
        <w:rPr>
          <w:i/>
          <w:iCs/>
        </w:rPr>
        <w:t>Intalco</w:t>
      </w:r>
      <w:proofErr w:type="spellEnd"/>
      <w:r w:rsidRPr="00014E8C">
        <w:t xml:space="preserve">. But </w:t>
      </w:r>
      <w:r w:rsidRPr="00321208">
        <w:rPr>
          <w:i/>
          <w:iCs/>
        </w:rPr>
        <w:t xml:space="preserve">Shoemake </w:t>
      </w:r>
      <w:r w:rsidRPr="00014E8C">
        <w:t xml:space="preserve">involved evidence of harm to only two others. Even if that small number of injuries lacks a tendency to make a fact more likely than not under </w:t>
      </w:r>
      <w:r w:rsidRPr="00B63F74">
        <w:t>ER 401</w:t>
      </w:r>
      <w:r w:rsidRPr="00014E8C">
        <w:t xml:space="preserve">, </w:t>
      </w:r>
      <w:r>
        <w:t>that says nothing about</w:t>
      </w:r>
      <w:r w:rsidRPr="00014E8C">
        <w:t xml:space="preserve"> evidence </w:t>
      </w:r>
      <w:r>
        <w:t xml:space="preserve">of </w:t>
      </w:r>
      <w:r w:rsidRPr="00014E8C">
        <w:t xml:space="preserve">injuries </w:t>
      </w:r>
      <w:r w:rsidRPr="000C3961">
        <w:rPr>
          <w:color w:val="000000" w:themeColor="text1"/>
        </w:rPr>
        <w:t xml:space="preserve">to </w:t>
      </w:r>
      <w:r w:rsidRPr="00014E8C">
        <w:rPr>
          <w:color w:val="000000" w:themeColor="text1"/>
        </w:rPr>
        <w:t>over one hundred</w:t>
      </w:r>
      <w:r w:rsidRPr="00014E8C">
        <w:t xml:space="preserve"> similarly</w:t>
      </w:r>
      <w:r w:rsidR="0024151D">
        <w:t xml:space="preserve"> </w:t>
      </w:r>
      <w:r w:rsidRPr="00014E8C">
        <w:t>situated</w:t>
      </w:r>
      <w:r>
        <w:t xml:space="preserve"> people</w:t>
      </w:r>
      <w:r w:rsidRPr="00014E8C">
        <w:t xml:space="preserve">. And </w:t>
      </w:r>
      <w:r w:rsidRPr="000C3961">
        <w:rPr>
          <w:i/>
        </w:rPr>
        <w:t>Shoemake</w:t>
      </w:r>
      <w:r w:rsidRPr="00014E8C">
        <w:t xml:space="preserve"> is internally inconsistent</w:t>
      </w:r>
      <w:r>
        <w:t xml:space="preserve">: </w:t>
      </w:r>
      <w:r w:rsidRPr="00014E8C">
        <w:t>It concluded that the two individuals</w:t>
      </w:r>
      <w:r>
        <w:t>’ testimony</w:t>
      </w:r>
      <w:r w:rsidRPr="00014E8C">
        <w:t xml:space="preserve"> was irrelevant despite acknowledging that it would “bolster</w:t>
      </w:r>
      <w:r w:rsidR="002E72D2">
        <w:t xml:space="preserve">” </w:t>
      </w:r>
      <w:r w:rsidRPr="00014E8C">
        <w:t xml:space="preserve">the expert testimony, </w:t>
      </w:r>
      <w:r w:rsidR="002E72D2">
        <w:rPr>
          <w:i/>
          <w:iCs/>
        </w:rPr>
        <w:t>id.</w:t>
      </w:r>
      <w:r w:rsidR="002E72D2">
        <w:t xml:space="preserve"> at *5</w:t>
      </w:r>
      <w:r w:rsidR="002E72D2">
        <w:fldChar w:fldCharType="begin"/>
      </w:r>
      <w:r w:rsidR="002E72D2">
        <w:instrText xml:space="preserve"> TA \s "Shoemake v. Eli Lilly, 194 Wn. App. 1026" </w:instrText>
      </w:r>
      <w:r w:rsidR="002E72D2">
        <w:fldChar w:fldCharType="end"/>
      </w:r>
      <w:r w:rsidR="002E72D2">
        <w:t>,</w:t>
      </w:r>
      <w:r w:rsidR="002E72D2" w:rsidRPr="00014E8C">
        <w:t xml:space="preserve"> </w:t>
      </w:r>
      <w:r w:rsidRPr="00014E8C">
        <w:rPr>
          <w:i/>
          <w:iCs/>
        </w:rPr>
        <w:t>i.e.</w:t>
      </w:r>
      <w:r w:rsidRPr="00014E8C">
        <w:t xml:space="preserve">, that it would have the tendency to make a fact more likely—all that </w:t>
      </w:r>
      <w:r w:rsidRPr="00B63F74">
        <w:t>ER 401</w:t>
      </w:r>
      <w:r w:rsidRPr="00014E8C">
        <w:t xml:space="preserve"> requires.</w:t>
      </w:r>
    </w:p>
  </w:footnote>
  <w:footnote w:id="30">
    <w:p w14:paraId="6E4769BE" w14:textId="0337F883" w:rsidR="003E25E5" w:rsidRPr="0016696B" w:rsidRDefault="003E25E5" w:rsidP="003E25E5">
      <w:pPr>
        <w:pStyle w:val="FootnoteText"/>
        <w:rPr>
          <w:rFonts w:ascii="Garamond" w:hAnsi="Garamond"/>
        </w:rPr>
      </w:pPr>
      <w:r w:rsidRPr="00E47D8E">
        <w:rPr>
          <w:rStyle w:val="FootnoteReference"/>
        </w:rPr>
        <w:footnoteRef/>
      </w:r>
      <w:r w:rsidRPr="00E47D8E">
        <w:rPr>
          <w:rStyle w:val="FootnoteReference"/>
        </w:rPr>
        <w:t xml:space="preserve"> </w:t>
      </w:r>
      <w:r w:rsidRPr="00E47D8E">
        <w:t xml:space="preserve">None of the remainder of Monsanto’s gripes with the proceedings below provide a basis for reversal. It complains </w:t>
      </w:r>
      <w:r w:rsidR="00993E98">
        <w:t xml:space="preserve">(at 174) </w:t>
      </w:r>
      <w:r w:rsidRPr="00E47D8E">
        <w:t>that it didn</w:t>
      </w:r>
      <w:r w:rsidR="00316642">
        <w:t>’</w:t>
      </w:r>
      <w:r w:rsidRPr="00E47D8E">
        <w:t>t have adequate time for discovery</w:t>
      </w:r>
      <w:r w:rsidR="00316642">
        <w:t xml:space="preserve"> </w:t>
      </w:r>
      <w:r>
        <w:t>but never</w:t>
      </w:r>
      <w:r w:rsidRPr="00E47D8E">
        <w:t xml:space="preserve"> challenge</w:t>
      </w:r>
      <w:r>
        <w:t>s</w:t>
      </w:r>
      <w:r w:rsidRPr="00E47D8E">
        <w:t xml:space="preserve"> the trial court’s discovery order. It fleetingly characterizes </w:t>
      </w:r>
      <w:r w:rsidRPr="005E6CE4">
        <w:t>(at 173)</w:t>
      </w:r>
      <w:r w:rsidRPr="00E47D8E">
        <w:t xml:space="preserve"> the </w:t>
      </w:r>
      <w:r w:rsidR="00993E98">
        <w:t>experts’ testimony</w:t>
      </w:r>
      <w:r w:rsidRPr="00E47D8E">
        <w:t xml:space="preserve"> as hearsay but declines to ask this court to reverse on that ground, presumably because it didn</w:t>
      </w:r>
      <w:r>
        <w:t>’</w:t>
      </w:r>
      <w:r w:rsidRPr="00E47D8E">
        <w:t xml:space="preserve">t preserve </w:t>
      </w:r>
      <w:r w:rsidR="00A3398D">
        <w:t>it</w:t>
      </w:r>
      <w:r w:rsidRPr="00E47D8E">
        <w:t>. And Monsanto asserts—in a footnote with no case</w:t>
      </w:r>
      <w:r>
        <w:t xml:space="preserve"> law</w:t>
      </w:r>
      <w:r w:rsidRPr="00E47D8E">
        <w:t>—that Dr. Mahoney’s study isn</w:t>
      </w:r>
      <w:r>
        <w:t>’</w:t>
      </w:r>
      <w:r w:rsidRPr="00E47D8E">
        <w:t>t as reliable as peer</w:t>
      </w:r>
      <w:r>
        <w:t>-</w:t>
      </w:r>
      <w:r w:rsidRPr="00E47D8E">
        <w:t>reviewed studies</w:t>
      </w:r>
      <w:r>
        <w:t>. B</w:t>
      </w:r>
      <w:r w:rsidRPr="00E47D8E">
        <w:t>ut it hasn</w:t>
      </w:r>
      <w:r>
        <w:t>’</w:t>
      </w:r>
      <w:r w:rsidRPr="00E47D8E">
        <w:t xml:space="preserve">t </w:t>
      </w:r>
      <w:proofErr w:type="gramStart"/>
      <w:r w:rsidRPr="00E47D8E">
        <w:t>actually tied</w:t>
      </w:r>
      <w:proofErr w:type="gramEnd"/>
      <w:r w:rsidRPr="00E47D8E">
        <w:t xml:space="preserve"> </w:t>
      </w:r>
      <w:r w:rsidR="00A3398D">
        <w:t xml:space="preserve">this </w:t>
      </w:r>
      <w:r w:rsidRPr="00E47D8E">
        <w:t xml:space="preserve">to any argument under </w:t>
      </w:r>
      <w:r w:rsidRPr="00321208">
        <w:rPr>
          <w:i/>
          <w:iCs/>
        </w:rPr>
        <w:t>Frye</w:t>
      </w:r>
      <w:r w:rsidRPr="00E47D8E">
        <w:t xml:space="preserve"> or </w:t>
      </w:r>
      <w:r w:rsidRPr="00B63F74">
        <w:t>ER 702</w:t>
      </w:r>
      <w:r w:rsidRPr="00E47D8E">
        <w:t xml:space="preserve">, let alone </w:t>
      </w:r>
      <w:r>
        <w:t xml:space="preserve">argued </w:t>
      </w:r>
      <w:r w:rsidRPr="00E47D8E">
        <w:t>that her opinion should</w:t>
      </w:r>
      <w:r w:rsidR="00A3398D">
        <w:t>’</w:t>
      </w:r>
      <w:r w:rsidRPr="00E47D8E">
        <w:t xml:space="preserve">ve been excluded </w:t>
      </w:r>
      <w:r>
        <w:t>on that basis</w:t>
      </w:r>
      <w:r w:rsidRPr="0016696B">
        <w:rPr>
          <w:rFonts w:ascii="Garamond" w:hAnsi="Garamond"/>
        </w:rPr>
        <w:t xml:space="preserve">. </w:t>
      </w:r>
    </w:p>
    <w:p w14:paraId="44B09562" w14:textId="77777777" w:rsidR="003E25E5" w:rsidRPr="00014E8C" w:rsidRDefault="003E25E5" w:rsidP="00FB3C21">
      <w:pPr>
        <w:pStyle w:val="FootnoteText"/>
        <w:ind w:firstLine="0"/>
      </w:pPr>
    </w:p>
  </w:footnote>
  <w:footnote w:id="31">
    <w:p w14:paraId="2435FD03" w14:textId="3558B5A5" w:rsidR="002F2B2C" w:rsidRPr="00014E8C" w:rsidRDefault="002F2B2C" w:rsidP="002F2B2C">
      <w:pPr>
        <w:pStyle w:val="FootnoteText"/>
      </w:pPr>
      <w:r w:rsidRPr="00014E8C">
        <w:rPr>
          <w:rStyle w:val="FootnoteReference"/>
          <w:szCs w:val="28"/>
        </w:rPr>
        <w:footnoteRef/>
      </w:r>
      <w:r w:rsidRPr="00014E8C">
        <w:t xml:space="preserve"> </w:t>
      </w:r>
      <w:r w:rsidRPr="00437F2F">
        <w:t xml:space="preserve">Nor does it matter that the court admitted lay testimony </w:t>
      </w:r>
      <w:r>
        <w:t xml:space="preserve">about teachers and students’ injuries. </w:t>
      </w:r>
      <w:r w:rsidRPr="00437F2F">
        <w:t>That evidence is likewise relevant under the “substantially similar circumstances” standard. It is also cumulative. With the other admitted evidence to which Monsanto does not object in the case, there is no conceivable way that t</w:t>
      </w:r>
      <w:r>
        <w:t>his</w:t>
      </w:r>
      <w:r w:rsidRPr="00437F2F">
        <w:t xml:space="preserve"> testimony</w:t>
      </w:r>
      <w:r>
        <w:t xml:space="preserve"> could have </w:t>
      </w:r>
      <w:r w:rsidRPr="00437F2F">
        <w:t>tainted the jury’s verdict.</w:t>
      </w:r>
      <w:r>
        <w:t xml:space="preserve"> </w:t>
      </w:r>
    </w:p>
  </w:footnote>
  <w:footnote w:id="32">
    <w:p w14:paraId="0A0A37CE" w14:textId="3F75975D" w:rsidR="00CF0162" w:rsidRDefault="00CF0162" w:rsidP="00CF0162">
      <w:pPr>
        <w:pStyle w:val="BodyText"/>
        <w:spacing w:line="240" w:lineRule="auto"/>
      </w:pPr>
      <w:r>
        <w:rPr>
          <w:rStyle w:val="FootnoteReference"/>
        </w:rPr>
        <w:footnoteRef/>
      </w:r>
      <w:r>
        <w:t xml:space="preserve"> </w:t>
      </w:r>
      <w:r w:rsidRPr="005F69AE">
        <w:t xml:space="preserve">Neither of the two cases on which Monsanto relies (at 220) is to the contrary. They hold only that a manufacturer’s knowledge that a product “poses a danger to a narrow class” is </w:t>
      </w:r>
      <w:r w:rsidR="00FC31BF">
        <w:t>“</w:t>
      </w:r>
      <w:r w:rsidRPr="005F69AE">
        <w:t xml:space="preserve">insufficient” to prove “knowledge of a danger to the much broader class of persons who were merely present in such buildings at other times.” </w:t>
      </w:r>
      <w:r w:rsidRPr="005F69AE">
        <w:rPr>
          <w:i/>
          <w:iCs/>
        </w:rPr>
        <w:t>Kan</w:t>
      </w:r>
      <w:r w:rsidR="006E2120">
        <w:rPr>
          <w:i/>
          <w:iCs/>
        </w:rPr>
        <w:t xml:space="preserve">sas </w:t>
      </w:r>
      <w:r w:rsidRPr="005F69AE">
        <w:rPr>
          <w:i/>
          <w:iCs/>
        </w:rPr>
        <w:t>City v. Keene Corp.</w:t>
      </w:r>
      <w:r w:rsidRPr="005F69AE">
        <w:t>, 855 S.W.2d 360, 375 (Mo. 1993)</w:t>
      </w:r>
      <w:r w:rsidR="007E1DBD">
        <w:fldChar w:fldCharType="begin"/>
      </w:r>
      <w:r w:rsidR="007E1DBD">
        <w:instrText xml:space="preserve"> TA \l "</w:instrText>
      </w:r>
      <w:r w:rsidR="007E1DBD" w:rsidRPr="004E2E4B">
        <w:rPr>
          <w:i/>
          <w:iCs/>
        </w:rPr>
        <w:instrText>Kansas City v. Keene Corp.</w:instrText>
      </w:r>
      <w:r w:rsidR="007E1DBD" w:rsidRPr="004E2E4B">
        <w:instrText>,</w:instrText>
      </w:r>
      <w:r w:rsidR="007E1DBD" w:rsidRPr="004E2E4B">
        <w:br/>
        <w:instrText>855 S.W.2d 360 (Mo. 1993)</w:instrText>
      </w:r>
      <w:r w:rsidR="007E1DBD">
        <w:instrText xml:space="preserve">" \s "Kansas City v. Keene, 855 S.W.2d 360" \c 1 </w:instrText>
      </w:r>
      <w:r w:rsidR="007E1DBD">
        <w:fldChar w:fldCharType="end"/>
      </w:r>
      <w:r w:rsidRPr="005F69AE">
        <w:t xml:space="preserve">; </w:t>
      </w:r>
      <w:r w:rsidRPr="005F69AE">
        <w:rPr>
          <w:i/>
          <w:iCs/>
        </w:rPr>
        <w:t xml:space="preserve">see Sch. Dist. of </w:t>
      </w:r>
      <w:proofErr w:type="spellStart"/>
      <w:r w:rsidRPr="005F69AE">
        <w:rPr>
          <w:i/>
          <w:iCs/>
        </w:rPr>
        <w:t>Indep</w:t>
      </w:r>
      <w:proofErr w:type="spellEnd"/>
      <w:r w:rsidR="00CC4C3C">
        <w:rPr>
          <w:i/>
          <w:iCs/>
        </w:rPr>
        <w:t>.</w:t>
      </w:r>
      <w:r w:rsidRPr="005F69AE">
        <w:rPr>
          <w:i/>
          <w:iCs/>
        </w:rPr>
        <w:t xml:space="preserve"> v. U.S. Gypsum Co.</w:t>
      </w:r>
      <w:r w:rsidRPr="00FC31BF">
        <w:t>,</w:t>
      </w:r>
      <w:r w:rsidRPr="005F69AE">
        <w:t xml:space="preserve"> 750 S.W.2d 442, 447 (Mo. Ct. App. 1988)</w:t>
      </w:r>
      <w:r w:rsidR="00CC4C3C">
        <w:fldChar w:fldCharType="begin"/>
      </w:r>
      <w:r w:rsidR="00CC4C3C">
        <w:instrText xml:space="preserve"> TA \l "</w:instrText>
      </w:r>
      <w:r w:rsidR="00CC4C3C" w:rsidRPr="004E2E4B">
        <w:rPr>
          <w:i/>
          <w:iCs/>
        </w:rPr>
        <w:instrText>School District of Independence v. U.S. Gypsum Co.,</w:instrText>
      </w:r>
      <w:r w:rsidR="00CC4C3C" w:rsidRPr="004E2E4B">
        <w:br/>
        <w:instrText>750 S.W.2d 442 (Mo. Ct. App. 1988)</w:instrText>
      </w:r>
      <w:r w:rsidR="00CC4C3C">
        <w:instrText xml:space="preserve">" \s "Indep. v. U.S. Gypsum, 750 S.W.2d 442" \c 1 </w:instrText>
      </w:r>
      <w:r w:rsidR="00CC4C3C">
        <w:fldChar w:fldCharType="end"/>
      </w:r>
      <w:r w:rsidRPr="005F69AE">
        <w:t>. But where</w:t>
      </w:r>
      <w:r>
        <w:t>, as here,</w:t>
      </w:r>
      <w:r w:rsidRPr="005F69AE">
        <w:t xml:space="preserve"> the evidence of knowledge is not so limited, Missouri courts will not vacate a jury’s punitive-damages award on that ground. </w:t>
      </w:r>
      <w:r w:rsidRPr="005F69AE">
        <w:rPr>
          <w:i/>
          <w:iCs/>
        </w:rPr>
        <w:t>See</w:t>
      </w:r>
      <w:r w:rsidRPr="005F69AE">
        <w:t xml:space="preserve"> </w:t>
      </w:r>
      <w:proofErr w:type="spellStart"/>
      <w:r w:rsidRPr="005F69AE">
        <w:rPr>
          <w:i/>
          <w:iCs/>
        </w:rPr>
        <w:t>Poage</w:t>
      </w:r>
      <w:proofErr w:type="spellEnd"/>
      <w:r w:rsidRPr="005F69AE">
        <w:t>, 523 S.W.3d at 516</w:t>
      </w:r>
      <w:r>
        <w:t>-</w:t>
      </w:r>
      <w:r w:rsidRPr="005F69AE">
        <w:t>20;</w:t>
      </w:r>
      <w:r w:rsidR="00CC4C3C">
        <w:fldChar w:fldCharType="begin"/>
      </w:r>
      <w:r w:rsidR="00CC4C3C">
        <w:instrText xml:space="preserve"> TA \s "Poage v. Crane, 523 S.W.3d 496" </w:instrText>
      </w:r>
      <w:r w:rsidR="00CC4C3C">
        <w:fldChar w:fldCharType="end"/>
      </w:r>
      <w:r w:rsidRPr="005F69AE">
        <w:t xml:space="preserve"> </w:t>
      </w:r>
      <w:r w:rsidRPr="005F69AE">
        <w:rPr>
          <w:i/>
          <w:iCs/>
        </w:rPr>
        <w:t>Ingham</w:t>
      </w:r>
      <w:r w:rsidRPr="005F69AE">
        <w:t>, 608 S.W.3d at 714</w:t>
      </w:r>
      <w:r>
        <w:t>-</w:t>
      </w:r>
      <w:r w:rsidRPr="005F69AE">
        <w:t>19</w:t>
      </w:r>
      <w:r w:rsidR="00CC4C3C">
        <w:fldChar w:fldCharType="begin"/>
      </w:r>
      <w:r w:rsidR="00CC4C3C">
        <w:instrText xml:space="preserve"> TA \s "Ingham v. J&amp;J, 608 S.W.3d 663" </w:instrText>
      </w:r>
      <w:r w:rsidR="00CC4C3C">
        <w:fldChar w:fldCharType="end"/>
      </w:r>
      <w:r w:rsidRPr="005F69AE">
        <w:t>.</w:t>
      </w:r>
      <w:r>
        <w:t xml:space="preserve"> Here, </w:t>
      </w:r>
      <w:r w:rsidRPr="00EA051B">
        <w:t>Monsanto knew that PCBs in fluorescent light fixtures were “‘cancer-causing’ agent[s],” P-2531</w:t>
      </w:r>
      <w:r>
        <w:t xml:space="preserve">, and </w:t>
      </w:r>
      <w:r w:rsidRPr="00EA051B">
        <w:t>that</w:t>
      </w:r>
      <w:r w:rsidR="006E2120">
        <w:t xml:space="preserve"> </w:t>
      </w:r>
      <w:r w:rsidRPr="00EA051B">
        <w:t>exposure “usually” caused “systemic poisoning,” P-150 at 10</w:t>
      </w:r>
      <w:r>
        <w:t>.</w:t>
      </w:r>
      <w:r w:rsidRPr="00EA051B">
        <w:t xml:space="preserve"> </w:t>
      </w:r>
    </w:p>
  </w:footnote>
  <w:footnote w:id="33">
    <w:p w14:paraId="450B94F4" w14:textId="3A33A6A9" w:rsidR="00CF0162" w:rsidRPr="002654A4" w:rsidRDefault="00CF0162" w:rsidP="00CF0162">
      <w:pPr>
        <w:pStyle w:val="FootnoteText"/>
      </w:pPr>
      <w:r>
        <w:rPr>
          <w:rStyle w:val="FootnoteReference"/>
        </w:rPr>
        <w:footnoteRef/>
      </w:r>
      <w:r>
        <w:t xml:space="preserve"> Monsanto claims that its actions were</w:t>
      </w:r>
      <w:r w:rsidR="00316642">
        <w:t xml:space="preserve"> not</w:t>
      </w:r>
      <w:r>
        <w:t xml:space="preserve"> reprehensible because it did</w:t>
      </w:r>
      <w:r w:rsidR="00316642">
        <w:t>n’t</w:t>
      </w:r>
      <w:r>
        <w:t xml:space="preserve"> know that PCBs could cause the specific injuries suffered by the plaintiffs. But the jury </w:t>
      </w:r>
      <w:r w:rsidRPr="003A6090">
        <w:t>found</w:t>
      </w:r>
      <w:r>
        <w:t xml:space="preserve"> that it knew that PCBs were toxic and could cause injury, which is what happe</w:t>
      </w:r>
      <w:r w:rsidR="00316642">
        <w:t>ne</w:t>
      </w:r>
      <w:r>
        <w:t>d. Even so, u</w:t>
      </w:r>
      <w:r w:rsidRPr="00930AA1">
        <w:t>ncertainty as to “the risk of releasing a possible [toxin] into the environment, even</w:t>
      </w:r>
      <w:r>
        <w:t xml:space="preserve"> </w:t>
      </w:r>
      <w:r w:rsidRPr="00930AA1">
        <w:t>when, or perhaps especially when, the possibility is not well defined, counsels for the</w:t>
      </w:r>
      <w:r>
        <w:t xml:space="preserve"> </w:t>
      </w:r>
      <w:r w:rsidRPr="00930AA1">
        <w:t xml:space="preserve">adoption of extraordinary precautions.” </w:t>
      </w:r>
      <w:r w:rsidRPr="00930AA1">
        <w:rPr>
          <w:i/>
          <w:iCs/>
        </w:rPr>
        <w:t>Action Marine, Inc. v. Cont’l Carbon Inc.</w:t>
      </w:r>
      <w:r w:rsidRPr="00930AA1">
        <w:t>, 481</w:t>
      </w:r>
      <w:r>
        <w:t xml:space="preserve"> </w:t>
      </w:r>
      <w:r w:rsidRPr="00930AA1">
        <w:t>F.3d 1302, 1319 n.20 (11th Cir. 2007)</w:t>
      </w:r>
      <w:r w:rsidR="00140E2B">
        <w:fldChar w:fldCharType="begin"/>
      </w:r>
      <w:r w:rsidR="00140E2B">
        <w:instrText xml:space="preserve"> TA \l "</w:instrText>
      </w:r>
      <w:r w:rsidR="00140E2B" w:rsidRPr="004E2E4B">
        <w:rPr>
          <w:i/>
          <w:iCs/>
        </w:rPr>
        <w:instrText>Action Marine, Inc. v. Continental Carbon Inc.</w:instrText>
      </w:r>
      <w:r w:rsidR="00140E2B" w:rsidRPr="004E2E4B">
        <w:instrText>,</w:instrText>
      </w:r>
      <w:r w:rsidR="00140E2B" w:rsidRPr="004E2E4B">
        <w:br/>
        <w:instrText>481 F.3d 1302 (11th Cir. 2007)</w:instrText>
      </w:r>
      <w:r w:rsidR="00140E2B">
        <w:instrText xml:space="preserve">" \s "Action Marine v. Cont’l, 481 F.3d 1302" \c 1 </w:instrText>
      </w:r>
      <w:r w:rsidR="00140E2B">
        <w:fldChar w:fldCharType="end"/>
      </w:r>
      <w:r w:rsidRPr="00930AA1">
        <w:t xml:space="preserve">. That </w:t>
      </w:r>
      <w:r>
        <w:t>Monsanto</w:t>
      </w:r>
      <w:r w:rsidRPr="00930AA1">
        <w:t xml:space="preserve"> “consciously ignored” those</w:t>
      </w:r>
      <w:r>
        <w:t xml:space="preserve"> risks</w:t>
      </w:r>
      <w:r w:rsidRPr="00930AA1">
        <w:t xml:space="preserve"> “justifies extraordinary penalties.” </w:t>
      </w:r>
      <w:r w:rsidR="00140E2B">
        <w:fldChar w:fldCharType="begin"/>
      </w:r>
      <w:r w:rsidR="00140E2B">
        <w:instrText xml:space="preserve"> TA \s "Action Marine v. Cont’l, 481 F.3d 1302" </w:instrText>
      </w:r>
      <w:r w:rsidR="00140E2B">
        <w:fldChar w:fldCharType="end"/>
      </w:r>
      <w:r w:rsidRPr="00930AA1">
        <w:rPr>
          <w:i/>
          <w:iCs/>
        </w:rPr>
        <w:t>Id.</w:t>
      </w:r>
    </w:p>
  </w:footnote>
  <w:footnote w:id="34">
    <w:p w14:paraId="685E3A8A" w14:textId="238AD052" w:rsidR="00CF0162" w:rsidRPr="00BF358B" w:rsidRDefault="00CF0162" w:rsidP="00CF0162">
      <w:pPr>
        <w:pStyle w:val="FootnoteText"/>
      </w:pPr>
      <w:r w:rsidRPr="00BF358B">
        <w:rPr>
          <w:rStyle w:val="FootnoteReference"/>
        </w:rPr>
        <w:footnoteRef/>
      </w:r>
      <w:r w:rsidRPr="00BF358B">
        <w:t xml:space="preserve"> Monsanto says that the relevant </w:t>
      </w:r>
      <w:r w:rsidRPr="003A6090">
        <w:t>ratio</w:t>
      </w:r>
      <w:r w:rsidRPr="00BF358B">
        <w:t xml:space="preserve"> is </w:t>
      </w:r>
      <w:r>
        <w:t xml:space="preserve">around </w:t>
      </w:r>
      <w:r w:rsidRPr="00BF358B">
        <w:t xml:space="preserve">2.7:1. But as the trial court concluded, that “does not include the potential harm PCBs could cause these Plaintiffs in the future which, according to the Supreme Court, should also be considered.” </w:t>
      </w:r>
      <w:r w:rsidR="00D14F95">
        <w:t>CP 16808</w:t>
      </w:r>
      <w:r>
        <w:t xml:space="preserve">; </w:t>
      </w:r>
      <w:r>
        <w:rPr>
          <w:i/>
          <w:iCs/>
        </w:rPr>
        <w:t>see also TXO</w:t>
      </w:r>
      <w:r>
        <w:t>,</w:t>
      </w:r>
      <w:r w:rsidRPr="00BF358B">
        <w:t xml:space="preserve"> 509 U.S. </w:t>
      </w:r>
      <w:r>
        <w:t xml:space="preserve">at </w:t>
      </w:r>
      <w:r w:rsidRPr="00BF358B">
        <w:t>4</w:t>
      </w:r>
      <w:r w:rsidR="003702AB">
        <w:t>53, 460</w:t>
      </w:r>
      <w:r w:rsidR="00140E2B">
        <w:fldChar w:fldCharType="begin"/>
      </w:r>
      <w:r w:rsidR="00140E2B">
        <w:instrText xml:space="preserve"> TA \s "TXO v. Alliance, 509 U.S. 443" </w:instrText>
      </w:r>
      <w:r w:rsidR="00140E2B">
        <w:fldChar w:fldCharType="end"/>
      </w:r>
      <w:r w:rsidRPr="00BF358B">
        <w:t xml:space="preserve"> </w:t>
      </w:r>
      <w:r>
        <w:t>(</w:t>
      </w:r>
      <w:r w:rsidRPr="00BF358B">
        <w:t>instructing courts</w:t>
      </w:r>
      <w:r>
        <w:t xml:space="preserve"> </w:t>
      </w:r>
      <w:r w:rsidRPr="00BF358B">
        <w:t xml:space="preserve">“to consider the magnitude of the </w:t>
      </w:r>
      <w:r w:rsidRPr="001406F8">
        <w:rPr>
          <w:i/>
          <w:iCs/>
        </w:rPr>
        <w:t>potential harm</w:t>
      </w:r>
      <w:r w:rsidRPr="00BF358B">
        <w:t>” to the plaintiff</w:t>
      </w:r>
      <w:r>
        <w:t xml:space="preserve"> and upholding “</w:t>
      </w:r>
      <w:r w:rsidRPr="001406F8">
        <w:t>a $10 million punitive damages award</w:t>
      </w:r>
      <w:r>
        <w:t>” that was “</w:t>
      </w:r>
      <w:r w:rsidRPr="001406F8">
        <w:t>526 times greater than the actual damages awarded</w:t>
      </w:r>
      <w:r>
        <w:t>” because of the potential harm).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7.2pt;height:7.2pt" o:bullet="t">
        <v:imagedata r:id="rId1" o:title=""/>
      </v:shape>
    </w:pict>
  </w:numPicBullet>
  <w:abstractNum w:abstractNumId="0" w15:restartNumberingAfterBreak="0">
    <w:nsid w:val="FFFFFF7C"/>
    <w:multiLevelType w:val="singleLevel"/>
    <w:tmpl w:val="074C4A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400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B6F9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854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7ADC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4AEB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DE7D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681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1AD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A1C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745EC"/>
    <w:multiLevelType w:val="multilevel"/>
    <w:tmpl w:val="E4542D5C"/>
    <w:styleLink w:val="CurrentList39"/>
    <w:lvl w:ilvl="0">
      <w:start w:val="1"/>
      <w:numFmt w:val="none"/>
      <w:suff w:val="nothing"/>
      <w:lvlText w:val=""/>
      <w:lvlJc w:val="left"/>
      <w:pPr>
        <w:ind w:left="0" w:firstLine="0"/>
      </w:pPr>
      <w:rPr>
        <w:rFonts w:hint="default"/>
      </w:rPr>
    </w:lvl>
    <w:lvl w:ilvl="1">
      <w:start w:val="1"/>
      <w:numFmt w:val="upperRoman"/>
      <w:lvlText w:val="%2."/>
      <w:lvlJc w:val="left"/>
      <w:pPr>
        <w:tabs>
          <w:tab w:val="num" w:pos="1836"/>
        </w:tabs>
        <w:ind w:left="1836" w:hanging="576"/>
      </w:pPr>
      <w:rPr>
        <w:rFonts w:hint="default"/>
      </w:rPr>
    </w:lvl>
    <w:lvl w:ilvl="2">
      <w:start w:val="1"/>
      <w:numFmt w:val="upperLetter"/>
      <w:lvlText w:val="%3."/>
      <w:lvlJc w:val="left"/>
      <w:pPr>
        <w:ind w:left="1152" w:hanging="576"/>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11" w15:restartNumberingAfterBreak="0">
    <w:nsid w:val="039F0815"/>
    <w:multiLevelType w:val="multilevel"/>
    <w:tmpl w:val="EDD0ED5A"/>
    <w:styleLink w:val="CurrentList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5E429B4"/>
    <w:multiLevelType w:val="multilevel"/>
    <w:tmpl w:val="8B2A2AD6"/>
    <w:styleLink w:val="CurrentList37"/>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13" w15:restartNumberingAfterBreak="0">
    <w:nsid w:val="0E977BC0"/>
    <w:multiLevelType w:val="multilevel"/>
    <w:tmpl w:val="AA5CF87C"/>
    <w:styleLink w:val="CurrentList17"/>
    <w:lvl w:ilvl="0">
      <w:start w:val="1"/>
      <w:numFmt w:val="upperRoman"/>
      <w:lvlText w:val="%1."/>
      <w:lvlJc w:val="left"/>
      <w:pPr>
        <w:ind w:left="730" w:hanging="720"/>
      </w:pPr>
      <w:rPr>
        <w:rFonts w:hint="default"/>
      </w:rPr>
    </w:lvl>
    <w:lvl w:ilvl="1">
      <w:start w:val="1"/>
      <w:numFmt w:val="upp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10A66E3D"/>
    <w:multiLevelType w:val="multilevel"/>
    <w:tmpl w:val="B35C5C72"/>
    <w:styleLink w:val="CurrentList14"/>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0D57EF2"/>
    <w:multiLevelType w:val="multilevel"/>
    <w:tmpl w:val="75AA6FE6"/>
    <w:styleLink w:val="CurrentList32"/>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16" w15:restartNumberingAfterBreak="0">
    <w:nsid w:val="123418C0"/>
    <w:multiLevelType w:val="multilevel"/>
    <w:tmpl w:val="444CA8FA"/>
    <w:styleLink w:val="CurrentList36"/>
    <w:lvl w:ilvl="0">
      <w:start w:val="1"/>
      <w:numFmt w:val="none"/>
      <w:suff w:val="nothing"/>
      <w:lvlText w:val=""/>
      <w:lvlJc w:val="left"/>
      <w:pPr>
        <w:ind w:left="0" w:firstLine="0"/>
      </w:pPr>
      <w:rPr>
        <w:rFonts w:hint="default"/>
      </w:rPr>
    </w:lvl>
    <w:lvl w:ilvl="1">
      <w:start w:val="1"/>
      <w:numFmt w:val="upperRoman"/>
      <w:lvlText w:val="%2."/>
      <w:lvlJc w:val="left"/>
      <w:pPr>
        <w:tabs>
          <w:tab w:val="num" w:pos="576"/>
        </w:tabs>
        <w:ind w:left="576" w:hanging="576"/>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17" w15:restartNumberingAfterBreak="0">
    <w:nsid w:val="13FF5C38"/>
    <w:multiLevelType w:val="multilevel"/>
    <w:tmpl w:val="126E67F0"/>
    <w:styleLink w:val="CurrentList23"/>
    <w:lvl w:ilvl="0">
      <w:start w:val="1"/>
      <w:numFmt w:val="none"/>
      <w:suff w:val="nothing"/>
      <w:lvlText w:val=""/>
      <w:lvlJc w:val="left"/>
      <w:pPr>
        <w:ind w:left="1718" w:firstLine="0"/>
      </w:pPr>
      <w:rPr>
        <w:rFonts w:hint="default"/>
      </w:rPr>
    </w:lvl>
    <w:lvl w:ilvl="1">
      <w:start w:val="1"/>
      <w:numFmt w:val="upperRoman"/>
      <w:lvlText w:val="%2."/>
      <w:lvlJc w:val="left"/>
      <w:pPr>
        <w:tabs>
          <w:tab w:val="num" w:pos="2140"/>
        </w:tabs>
        <w:ind w:left="2140" w:hanging="432"/>
      </w:pPr>
      <w:rPr>
        <w:rFonts w:hint="default"/>
      </w:rPr>
    </w:lvl>
    <w:lvl w:ilvl="2">
      <w:start w:val="1"/>
      <w:numFmt w:val="upperLetter"/>
      <w:lvlText w:val="%3."/>
      <w:lvlJc w:val="left"/>
      <w:pPr>
        <w:tabs>
          <w:tab w:val="num" w:pos="2572"/>
        </w:tabs>
        <w:ind w:left="2572" w:hanging="432"/>
      </w:pPr>
      <w:rPr>
        <w:rFonts w:hint="default"/>
      </w:rPr>
    </w:lvl>
    <w:lvl w:ilvl="3">
      <w:start w:val="1"/>
      <w:numFmt w:val="decimal"/>
      <w:lvlText w:val="%4)"/>
      <w:lvlJc w:val="left"/>
      <w:pPr>
        <w:tabs>
          <w:tab w:val="num" w:pos="3004"/>
        </w:tabs>
        <w:ind w:left="3004" w:hanging="432"/>
      </w:pPr>
      <w:rPr>
        <w:rFonts w:hint="default"/>
      </w:rPr>
    </w:lvl>
    <w:lvl w:ilvl="4">
      <w:start w:val="1"/>
      <w:numFmt w:val="decimal"/>
      <w:lvlText w:val="%5."/>
      <w:lvlJc w:val="left"/>
      <w:pPr>
        <w:tabs>
          <w:tab w:val="num" w:pos="3436"/>
        </w:tabs>
        <w:ind w:left="3436" w:hanging="432"/>
      </w:pPr>
      <w:rPr>
        <w:rFonts w:hint="default"/>
      </w:rPr>
    </w:lvl>
    <w:lvl w:ilvl="5">
      <w:start w:val="1"/>
      <w:numFmt w:val="lowerLetter"/>
      <w:lvlText w:val="(%6)"/>
      <w:lvlJc w:val="left"/>
      <w:pPr>
        <w:ind w:left="5030" w:firstLine="0"/>
      </w:pPr>
      <w:rPr>
        <w:rFonts w:hint="default"/>
      </w:rPr>
    </w:lvl>
    <w:lvl w:ilvl="6">
      <w:start w:val="1"/>
      <w:numFmt w:val="lowerRoman"/>
      <w:lvlText w:val="(%7)"/>
      <w:lvlJc w:val="left"/>
      <w:pPr>
        <w:ind w:left="5750" w:firstLine="0"/>
      </w:pPr>
      <w:rPr>
        <w:rFonts w:hint="default"/>
      </w:rPr>
    </w:lvl>
    <w:lvl w:ilvl="7">
      <w:start w:val="1"/>
      <w:numFmt w:val="lowerLetter"/>
      <w:lvlText w:val="(%8)"/>
      <w:lvlJc w:val="left"/>
      <w:pPr>
        <w:ind w:left="6470" w:firstLine="0"/>
      </w:pPr>
      <w:rPr>
        <w:rFonts w:hint="default"/>
      </w:rPr>
    </w:lvl>
    <w:lvl w:ilvl="8">
      <w:start w:val="1"/>
      <w:numFmt w:val="lowerRoman"/>
      <w:lvlText w:val="(%9)"/>
      <w:lvlJc w:val="left"/>
      <w:pPr>
        <w:ind w:left="7190" w:firstLine="0"/>
      </w:pPr>
      <w:rPr>
        <w:rFonts w:hint="default"/>
      </w:rPr>
    </w:lvl>
  </w:abstractNum>
  <w:abstractNum w:abstractNumId="18" w15:restartNumberingAfterBreak="0">
    <w:nsid w:val="172762DF"/>
    <w:multiLevelType w:val="multilevel"/>
    <w:tmpl w:val="B8E22A2C"/>
    <w:styleLink w:val="CurrentList31"/>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19" w15:restartNumberingAfterBreak="0">
    <w:nsid w:val="17415F86"/>
    <w:multiLevelType w:val="multilevel"/>
    <w:tmpl w:val="B5286C4C"/>
    <w:styleLink w:val="CurrentList6"/>
    <w:lvl w:ilvl="0">
      <w:start w:val="1"/>
      <w:numFmt w:val="upperRoman"/>
      <w:lvlText w:val="%1."/>
      <w:lvlJc w:val="left"/>
      <w:pPr>
        <w:ind w:left="432" w:hanging="432"/>
      </w:pPr>
      <w:rPr>
        <w:rFonts w:hint="default"/>
      </w:rPr>
    </w:lvl>
    <w:lvl w:ilvl="1">
      <w:start w:val="1"/>
      <w:numFmt w:val="upperLetter"/>
      <w:lvlText w:val="%2."/>
      <w:lvlJc w:val="left"/>
      <w:pPr>
        <w:ind w:left="432" w:hanging="432"/>
      </w:pPr>
      <w:rPr>
        <w:rFonts w:hint="default"/>
      </w:rPr>
    </w:lvl>
    <w:lvl w:ilvl="2">
      <w:start w:val="1"/>
      <w:numFmt w:val="decimal"/>
      <w:lvlText w:val="%3."/>
      <w:lvlJc w:val="left"/>
      <w:pPr>
        <w:ind w:left="864" w:hanging="43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17886EE0"/>
    <w:multiLevelType w:val="hybridMultilevel"/>
    <w:tmpl w:val="84C024A8"/>
    <w:lvl w:ilvl="0" w:tplc="04AEE186">
      <w:start w:val="1"/>
      <w:numFmt w:val="decimal"/>
      <w:lvlRestart w:val="0"/>
      <w:pStyle w:val="NumListDbl"/>
      <w:lvlText w:val="%1."/>
      <w:lvlJc w:val="left"/>
      <w:pPr>
        <w:tabs>
          <w:tab w:val="num" w:pos="0"/>
        </w:tabs>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854158F"/>
    <w:multiLevelType w:val="multilevel"/>
    <w:tmpl w:val="C0646388"/>
    <w:styleLink w:val="CurrentList24"/>
    <w:lvl w:ilvl="0">
      <w:start w:val="1"/>
      <w:numFmt w:val="decimal"/>
      <w:suff w:val="space"/>
      <w:lvlText w:val="Chapter %1"/>
      <w:lvlJc w:val="left"/>
      <w:pPr>
        <w:ind w:left="2572" w:firstLine="0"/>
      </w:pPr>
      <w:rPr>
        <w:rFonts w:hint="default"/>
      </w:rPr>
    </w:lvl>
    <w:lvl w:ilvl="1">
      <w:start w:val="1"/>
      <w:numFmt w:val="none"/>
      <w:suff w:val="nothing"/>
      <w:lvlText w:val=""/>
      <w:lvlJc w:val="left"/>
      <w:pPr>
        <w:ind w:left="2572" w:firstLine="0"/>
      </w:pPr>
      <w:rPr>
        <w:rFonts w:hint="default"/>
      </w:rPr>
    </w:lvl>
    <w:lvl w:ilvl="2">
      <w:start w:val="1"/>
      <w:numFmt w:val="none"/>
      <w:suff w:val="nothing"/>
      <w:lvlText w:val=""/>
      <w:lvlJc w:val="left"/>
      <w:pPr>
        <w:ind w:left="2572" w:firstLine="0"/>
      </w:pPr>
      <w:rPr>
        <w:rFonts w:hint="default"/>
      </w:rPr>
    </w:lvl>
    <w:lvl w:ilvl="3">
      <w:start w:val="1"/>
      <w:numFmt w:val="none"/>
      <w:suff w:val="nothing"/>
      <w:lvlText w:val=""/>
      <w:lvlJc w:val="left"/>
      <w:pPr>
        <w:ind w:left="2572" w:firstLine="0"/>
      </w:pPr>
      <w:rPr>
        <w:rFonts w:hint="default"/>
      </w:rPr>
    </w:lvl>
    <w:lvl w:ilvl="4">
      <w:start w:val="1"/>
      <w:numFmt w:val="none"/>
      <w:suff w:val="nothing"/>
      <w:lvlText w:val=""/>
      <w:lvlJc w:val="left"/>
      <w:pPr>
        <w:ind w:left="2572" w:firstLine="0"/>
      </w:pPr>
      <w:rPr>
        <w:rFonts w:hint="default"/>
      </w:rPr>
    </w:lvl>
    <w:lvl w:ilvl="5">
      <w:start w:val="1"/>
      <w:numFmt w:val="none"/>
      <w:suff w:val="nothing"/>
      <w:lvlText w:val=""/>
      <w:lvlJc w:val="left"/>
      <w:pPr>
        <w:ind w:left="2572" w:firstLine="0"/>
      </w:pPr>
      <w:rPr>
        <w:rFonts w:hint="default"/>
      </w:rPr>
    </w:lvl>
    <w:lvl w:ilvl="6">
      <w:start w:val="1"/>
      <w:numFmt w:val="none"/>
      <w:suff w:val="nothing"/>
      <w:lvlText w:val=""/>
      <w:lvlJc w:val="left"/>
      <w:pPr>
        <w:ind w:left="2572" w:firstLine="0"/>
      </w:pPr>
      <w:rPr>
        <w:rFonts w:hint="default"/>
      </w:rPr>
    </w:lvl>
    <w:lvl w:ilvl="7">
      <w:start w:val="1"/>
      <w:numFmt w:val="none"/>
      <w:suff w:val="nothing"/>
      <w:lvlText w:val=""/>
      <w:lvlJc w:val="left"/>
      <w:pPr>
        <w:ind w:left="2572" w:firstLine="0"/>
      </w:pPr>
      <w:rPr>
        <w:rFonts w:hint="default"/>
      </w:rPr>
    </w:lvl>
    <w:lvl w:ilvl="8">
      <w:start w:val="1"/>
      <w:numFmt w:val="none"/>
      <w:suff w:val="nothing"/>
      <w:lvlText w:val=""/>
      <w:lvlJc w:val="left"/>
      <w:pPr>
        <w:ind w:left="2572" w:firstLine="0"/>
      </w:pPr>
      <w:rPr>
        <w:rFonts w:hint="default"/>
      </w:rPr>
    </w:lvl>
  </w:abstractNum>
  <w:abstractNum w:abstractNumId="22" w15:restartNumberingAfterBreak="0">
    <w:nsid w:val="1BF5441F"/>
    <w:multiLevelType w:val="multilevel"/>
    <w:tmpl w:val="D1B46510"/>
    <w:styleLink w:val="CurrentList11"/>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1C733061"/>
    <w:multiLevelType w:val="hybridMultilevel"/>
    <w:tmpl w:val="8E7CAB04"/>
    <w:lvl w:ilvl="0" w:tplc="AB9CEA28">
      <w:start w:val="1"/>
      <w:numFmt w:val="decimal"/>
      <w:lvlRestart w:val="0"/>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A007EA"/>
    <w:multiLevelType w:val="multilevel"/>
    <w:tmpl w:val="D8D26DFE"/>
    <w:styleLink w:val="CurrentList4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3D79BF"/>
    <w:multiLevelType w:val="hybridMultilevel"/>
    <w:tmpl w:val="BA1AE9D2"/>
    <w:lvl w:ilvl="0" w:tplc="2050F8B0">
      <w:start w:val="1"/>
      <w:numFmt w:val="upperLetter"/>
      <w:pStyle w:val="StatementHeading1"/>
      <w:lvlText w:val="%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BB4B3A"/>
    <w:multiLevelType w:val="multilevel"/>
    <w:tmpl w:val="814CD836"/>
    <w:styleLink w:val="CurrentList22"/>
    <w:lvl w:ilvl="0">
      <w:start w:val="1"/>
      <w:numFmt w:val="none"/>
      <w:suff w:val="nothing"/>
      <w:lvlText w:val=""/>
      <w:lvlJc w:val="left"/>
      <w:pPr>
        <w:ind w:left="864" w:firstLine="0"/>
      </w:pPr>
      <w:rPr>
        <w:rFonts w:hint="default"/>
      </w:rPr>
    </w:lvl>
    <w:lvl w:ilvl="1">
      <w:start w:val="1"/>
      <w:numFmt w:val="upperRoman"/>
      <w:lvlText w:val="%2."/>
      <w:lvlJc w:val="left"/>
      <w:pPr>
        <w:tabs>
          <w:tab w:val="num" w:pos="1286"/>
        </w:tabs>
        <w:ind w:left="1286" w:hanging="432"/>
      </w:pPr>
      <w:rPr>
        <w:rFonts w:hint="default"/>
      </w:rPr>
    </w:lvl>
    <w:lvl w:ilvl="2">
      <w:start w:val="1"/>
      <w:numFmt w:val="upperLetter"/>
      <w:lvlText w:val="%3."/>
      <w:lvlJc w:val="left"/>
      <w:pPr>
        <w:tabs>
          <w:tab w:val="num" w:pos="1718"/>
        </w:tabs>
        <w:ind w:left="1718" w:hanging="432"/>
      </w:pPr>
      <w:rPr>
        <w:rFonts w:hint="default"/>
      </w:rPr>
    </w:lvl>
    <w:lvl w:ilvl="3">
      <w:start w:val="1"/>
      <w:numFmt w:val="decimal"/>
      <w:lvlText w:val="%4)"/>
      <w:lvlJc w:val="left"/>
      <w:pPr>
        <w:tabs>
          <w:tab w:val="num" w:pos="2150"/>
        </w:tabs>
        <w:ind w:left="2150" w:hanging="432"/>
      </w:pPr>
      <w:rPr>
        <w:rFonts w:hint="default"/>
      </w:rPr>
    </w:lvl>
    <w:lvl w:ilvl="4">
      <w:start w:val="1"/>
      <w:numFmt w:val="decimal"/>
      <w:lvlText w:val="%5."/>
      <w:lvlJc w:val="left"/>
      <w:pPr>
        <w:tabs>
          <w:tab w:val="num" w:pos="2582"/>
        </w:tabs>
        <w:ind w:left="2582" w:hanging="432"/>
      </w:pPr>
      <w:rPr>
        <w:rFonts w:hint="default"/>
      </w:rPr>
    </w:lvl>
    <w:lvl w:ilvl="5">
      <w:start w:val="1"/>
      <w:numFmt w:val="lowerLetter"/>
      <w:lvlText w:val="(%6)"/>
      <w:lvlJc w:val="left"/>
      <w:pPr>
        <w:ind w:left="4176" w:firstLine="0"/>
      </w:pPr>
      <w:rPr>
        <w:rFonts w:hint="default"/>
      </w:rPr>
    </w:lvl>
    <w:lvl w:ilvl="6">
      <w:start w:val="1"/>
      <w:numFmt w:val="lowerRoman"/>
      <w:lvlText w:val="(%7)"/>
      <w:lvlJc w:val="left"/>
      <w:pPr>
        <w:ind w:left="4896" w:firstLine="0"/>
      </w:pPr>
      <w:rPr>
        <w:rFonts w:hint="default"/>
      </w:rPr>
    </w:lvl>
    <w:lvl w:ilvl="7">
      <w:start w:val="1"/>
      <w:numFmt w:val="lowerLetter"/>
      <w:lvlText w:val="(%8)"/>
      <w:lvlJc w:val="left"/>
      <w:pPr>
        <w:ind w:left="5616" w:firstLine="0"/>
      </w:pPr>
      <w:rPr>
        <w:rFonts w:hint="default"/>
      </w:rPr>
    </w:lvl>
    <w:lvl w:ilvl="8">
      <w:start w:val="1"/>
      <w:numFmt w:val="lowerRoman"/>
      <w:lvlText w:val="(%9)"/>
      <w:lvlJc w:val="left"/>
      <w:pPr>
        <w:ind w:left="6336" w:firstLine="0"/>
      </w:pPr>
      <w:rPr>
        <w:rFonts w:hint="default"/>
      </w:rPr>
    </w:lvl>
  </w:abstractNum>
  <w:abstractNum w:abstractNumId="27" w15:restartNumberingAfterBreak="0">
    <w:nsid w:val="22EB4B87"/>
    <w:multiLevelType w:val="multilevel"/>
    <w:tmpl w:val="E320D450"/>
    <w:styleLink w:val="CurrentList20"/>
    <w:lvl w:ilvl="0">
      <w:start w:val="1"/>
      <w:numFmt w:val="none"/>
      <w:suff w:val="nothing"/>
      <w:lvlText w:val=""/>
      <w:lvlJc w:val="left"/>
      <w:pPr>
        <w:ind w:left="1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ind w:left="3322" w:firstLine="0"/>
      </w:pPr>
      <w:rPr>
        <w:rFonts w:hint="default"/>
      </w:rPr>
    </w:lvl>
    <w:lvl w:ilvl="6">
      <w:start w:val="1"/>
      <w:numFmt w:val="lowerRoman"/>
      <w:lvlText w:val="(%7)"/>
      <w:lvlJc w:val="left"/>
      <w:pPr>
        <w:ind w:left="4042" w:firstLine="0"/>
      </w:pPr>
      <w:rPr>
        <w:rFonts w:hint="default"/>
      </w:rPr>
    </w:lvl>
    <w:lvl w:ilvl="7">
      <w:start w:val="1"/>
      <w:numFmt w:val="lowerLetter"/>
      <w:lvlText w:val="(%8)"/>
      <w:lvlJc w:val="left"/>
      <w:pPr>
        <w:ind w:left="4762" w:firstLine="0"/>
      </w:pPr>
      <w:rPr>
        <w:rFonts w:hint="default"/>
      </w:rPr>
    </w:lvl>
    <w:lvl w:ilvl="8">
      <w:start w:val="1"/>
      <w:numFmt w:val="lowerRoman"/>
      <w:lvlText w:val="(%9)"/>
      <w:lvlJc w:val="left"/>
      <w:pPr>
        <w:ind w:left="5482" w:firstLine="0"/>
      </w:pPr>
      <w:rPr>
        <w:rFonts w:hint="default"/>
      </w:rPr>
    </w:lvl>
  </w:abstractNum>
  <w:abstractNum w:abstractNumId="28" w15:restartNumberingAfterBreak="0">
    <w:nsid w:val="26915481"/>
    <w:multiLevelType w:val="multilevel"/>
    <w:tmpl w:val="135E55A4"/>
    <w:styleLink w:val="CurrentList26"/>
    <w:lvl w:ilvl="0">
      <w:start w:val="1"/>
      <w:numFmt w:val="none"/>
      <w:suff w:val="nothing"/>
      <w:lvlText w:val=""/>
      <w:lvlJc w:val="left"/>
      <w:pPr>
        <w:ind w:left="1152" w:firstLine="0"/>
      </w:pPr>
      <w:rPr>
        <w:rFonts w:hint="default"/>
      </w:rPr>
    </w:lvl>
    <w:lvl w:ilvl="1">
      <w:start w:val="1"/>
      <w:numFmt w:val="upperRoman"/>
      <w:lvlText w:val="%2."/>
      <w:lvlJc w:val="left"/>
      <w:pPr>
        <w:tabs>
          <w:tab w:val="num" w:pos="1574"/>
        </w:tabs>
        <w:ind w:left="1574" w:hanging="432"/>
      </w:pPr>
      <w:rPr>
        <w:rFonts w:hint="default"/>
      </w:rPr>
    </w:lvl>
    <w:lvl w:ilvl="2">
      <w:start w:val="1"/>
      <w:numFmt w:val="upperLetter"/>
      <w:lvlText w:val="%3."/>
      <w:lvlJc w:val="left"/>
      <w:pPr>
        <w:tabs>
          <w:tab w:val="num" w:pos="2006"/>
        </w:tabs>
        <w:ind w:left="2006" w:hanging="432"/>
      </w:pPr>
      <w:rPr>
        <w:rFonts w:hint="default"/>
      </w:rPr>
    </w:lvl>
    <w:lvl w:ilvl="3">
      <w:start w:val="1"/>
      <w:numFmt w:val="decimal"/>
      <w:lvlText w:val="%4)"/>
      <w:lvlJc w:val="left"/>
      <w:pPr>
        <w:tabs>
          <w:tab w:val="num" w:pos="2438"/>
        </w:tabs>
        <w:ind w:left="2438" w:hanging="432"/>
      </w:pPr>
      <w:rPr>
        <w:rFonts w:hint="default"/>
      </w:rPr>
    </w:lvl>
    <w:lvl w:ilvl="4">
      <w:start w:val="1"/>
      <w:numFmt w:val="decimal"/>
      <w:lvlText w:val="%5."/>
      <w:lvlJc w:val="left"/>
      <w:pPr>
        <w:tabs>
          <w:tab w:val="num" w:pos="2870"/>
        </w:tabs>
        <w:ind w:left="2870" w:hanging="432"/>
      </w:pPr>
      <w:rPr>
        <w:rFonts w:hint="default"/>
      </w:rPr>
    </w:lvl>
    <w:lvl w:ilvl="5">
      <w:start w:val="1"/>
      <w:numFmt w:val="lowerLetter"/>
      <w:lvlText w:val="(%6)"/>
      <w:lvlJc w:val="left"/>
      <w:pPr>
        <w:ind w:left="4464" w:firstLine="0"/>
      </w:pPr>
      <w:rPr>
        <w:rFonts w:hint="default"/>
      </w:rPr>
    </w:lvl>
    <w:lvl w:ilvl="6">
      <w:start w:val="1"/>
      <w:numFmt w:val="lowerRoman"/>
      <w:lvlText w:val="(%7)"/>
      <w:lvlJc w:val="left"/>
      <w:pPr>
        <w:ind w:left="5184" w:firstLine="0"/>
      </w:pPr>
      <w:rPr>
        <w:rFonts w:hint="default"/>
      </w:rPr>
    </w:lvl>
    <w:lvl w:ilvl="7">
      <w:start w:val="1"/>
      <w:numFmt w:val="lowerLetter"/>
      <w:lvlText w:val="(%8)"/>
      <w:lvlJc w:val="left"/>
      <w:pPr>
        <w:ind w:left="5904" w:firstLine="0"/>
      </w:pPr>
      <w:rPr>
        <w:rFonts w:hint="default"/>
      </w:rPr>
    </w:lvl>
    <w:lvl w:ilvl="8">
      <w:start w:val="1"/>
      <w:numFmt w:val="lowerRoman"/>
      <w:lvlText w:val="(%9)"/>
      <w:lvlJc w:val="left"/>
      <w:pPr>
        <w:ind w:left="6624" w:firstLine="0"/>
      </w:pPr>
      <w:rPr>
        <w:rFonts w:hint="default"/>
      </w:rPr>
    </w:lvl>
  </w:abstractNum>
  <w:abstractNum w:abstractNumId="29" w15:restartNumberingAfterBreak="0">
    <w:nsid w:val="29597F11"/>
    <w:multiLevelType w:val="multilevel"/>
    <w:tmpl w:val="5F84E5B2"/>
    <w:styleLink w:val="CurrentList38"/>
    <w:lvl w:ilvl="0">
      <w:start w:val="1"/>
      <w:numFmt w:val="none"/>
      <w:suff w:val="nothing"/>
      <w:lvlText w:val=""/>
      <w:lvlJc w:val="left"/>
      <w:pPr>
        <w:ind w:left="0" w:firstLine="0"/>
      </w:pPr>
      <w:rPr>
        <w:rFonts w:hint="default"/>
      </w:rPr>
    </w:lvl>
    <w:lvl w:ilvl="1">
      <w:start w:val="1"/>
      <w:numFmt w:val="upperRoman"/>
      <w:lvlText w:val="%2."/>
      <w:lvlJc w:val="left"/>
      <w:pPr>
        <w:tabs>
          <w:tab w:val="num" w:pos="576"/>
        </w:tabs>
        <w:ind w:left="576" w:hanging="576"/>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30" w15:restartNumberingAfterBreak="0">
    <w:nsid w:val="2E64795B"/>
    <w:multiLevelType w:val="hybridMultilevel"/>
    <w:tmpl w:val="D354B2FE"/>
    <w:lvl w:ilvl="0" w:tplc="5EFA1B5A">
      <w:start w:val="1"/>
      <w:numFmt w:val="decimal"/>
      <w:lvlRestart w:val="0"/>
      <w:pStyle w:val="NumListHang1Db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4A7410"/>
    <w:multiLevelType w:val="hybridMultilevel"/>
    <w:tmpl w:val="97E602DA"/>
    <w:lvl w:ilvl="0" w:tplc="69AA1310">
      <w:start w:val="1"/>
      <w:numFmt w:val="decimal"/>
      <w:pStyle w:val="StatementHeading2"/>
      <w:lvlText w:val="%1."/>
      <w:lvlJc w:val="left"/>
      <w:pPr>
        <w:tabs>
          <w:tab w:val="num" w:pos="1152"/>
        </w:tabs>
        <w:ind w:left="1152" w:hanging="576"/>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311A6164"/>
    <w:multiLevelType w:val="multilevel"/>
    <w:tmpl w:val="B3BA6706"/>
    <w:styleLink w:val="CurrentList9"/>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ind w:left="1440" w:hanging="57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33A80368"/>
    <w:multiLevelType w:val="multilevel"/>
    <w:tmpl w:val="34AC3238"/>
    <w:styleLink w:val="CurrentList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355C4288"/>
    <w:multiLevelType w:val="multilevel"/>
    <w:tmpl w:val="94AAE910"/>
    <w:styleLink w:val="CurrentList29"/>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35" w15:restartNumberingAfterBreak="0">
    <w:nsid w:val="35A0746F"/>
    <w:multiLevelType w:val="multilevel"/>
    <w:tmpl w:val="C868D770"/>
    <w:styleLink w:val="CurrentList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3A5348A4"/>
    <w:multiLevelType w:val="hybridMultilevel"/>
    <w:tmpl w:val="F06ABBD6"/>
    <w:lvl w:ilvl="0" w:tplc="937ECF08">
      <w:start w:val="1"/>
      <w:numFmt w:val="decimal"/>
      <w:lvlRestart w:val="0"/>
      <w:pStyle w:val="NumListHangDb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5E11E3"/>
    <w:multiLevelType w:val="multilevel"/>
    <w:tmpl w:val="B4ACA0A0"/>
    <w:styleLink w:val="CurrentList33"/>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38" w15:restartNumberingAfterBreak="0">
    <w:nsid w:val="42817FE4"/>
    <w:multiLevelType w:val="multilevel"/>
    <w:tmpl w:val="33B6270A"/>
    <w:styleLink w:val="CurrentList27"/>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39" w15:restartNumberingAfterBreak="0">
    <w:nsid w:val="43BE0FEC"/>
    <w:multiLevelType w:val="multilevel"/>
    <w:tmpl w:val="B420CA96"/>
    <w:styleLink w:val="CurrentList19"/>
    <w:lvl w:ilvl="0">
      <w:start w:val="1"/>
      <w:numFmt w:val="none"/>
      <w:suff w:val="nothing"/>
      <w:lvlText w:val=""/>
      <w:lvlJc w:val="left"/>
      <w:pPr>
        <w:ind w:left="0" w:firstLine="0"/>
      </w:pPr>
      <w:rPr>
        <w:rFonts w:hint="default"/>
      </w:rPr>
    </w:lvl>
    <w:lvl w:ilvl="1">
      <w:start w:val="1"/>
      <w:numFmt w:val="upperLetter"/>
      <w:lvlText w:val="%2."/>
      <w:lvlJc w:val="left"/>
      <w:pPr>
        <w:ind w:left="432" w:firstLine="0"/>
      </w:pPr>
      <w:rPr>
        <w:rFonts w:hint="default"/>
      </w:rPr>
    </w:lvl>
    <w:lvl w:ilvl="2">
      <w:start w:val="1"/>
      <w:numFmt w:val="decimal"/>
      <w:lvlText w:val="%3."/>
      <w:lvlJc w:val="left"/>
      <w:pPr>
        <w:ind w:left="1152" w:firstLine="0"/>
      </w:pPr>
      <w:rPr>
        <w:rFonts w:hint="default"/>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40" w15:restartNumberingAfterBreak="0">
    <w:nsid w:val="44E121EB"/>
    <w:multiLevelType w:val="multilevel"/>
    <w:tmpl w:val="BE185968"/>
    <w:styleLink w:val="CurrentList28"/>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41" w15:restartNumberingAfterBreak="0">
    <w:nsid w:val="45D71569"/>
    <w:multiLevelType w:val="multilevel"/>
    <w:tmpl w:val="B01A4B50"/>
    <w:styleLink w:val="CurrentList8"/>
    <w:lvl w:ilvl="0">
      <w:start w:val="1"/>
      <w:numFmt w:val="upperRoman"/>
      <w:lvlText w:val="%1."/>
      <w:lvlJc w:val="left"/>
      <w:pPr>
        <w:ind w:left="432" w:hanging="432"/>
      </w:pPr>
      <w:rPr>
        <w:rFonts w:hint="default"/>
      </w:rPr>
    </w:lvl>
    <w:lvl w:ilvl="1">
      <w:start w:val="1"/>
      <w:numFmt w:val="upperLetter"/>
      <w:lvlText w:val="%2."/>
      <w:lvlJc w:val="left"/>
      <w:pPr>
        <w:ind w:left="432" w:hanging="432"/>
      </w:pPr>
      <w:rPr>
        <w:rFonts w:hint="default"/>
      </w:rPr>
    </w:lvl>
    <w:lvl w:ilvl="2">
      <w:start w:val="1"/>
      <w:numFmt w:val="decimal"/>
      <w:lvlText w:val="%3."/>
      <w:lvlJc w:val="left"/>
      <w:pPr>
        <w:ind w:left="864" w:hanging="432"/>
      </w:pPr>
      <w:rPr>
        <w:rFonts w:hint="default"/>
      </w:rPr>
    </w:lvl>
    <w:lvl w:ilvl="3">
      <w:start w:val="1"/>
      <w:numFmt w:val="lowerLetter"/>
      <w:lvlText w:val="%4."/>
      <w:lvlJc w:val="left"/>
      <w:pPr>
        <w:ind w:left="1440" w:hanging="57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4B4B3AC7"/>
    <w:multiLevelType w:val="multilevel"/>
    <w:tmpl w:val="18E8BC86"/>
    <w:lvl w:ilvl="0">
      <w:start w:val="1"/>
      <w:numFmt w:val="none"/>
      <w:pStyle w:val="Heading1"/>
      <w:suff w:val="nothing"/>
      <w:lvlText w:val=""/>
      <w:lvlJc w:val="left"/>
      <w:pPr>
        <w:ind w:left="0" w:firstLine="0"/>
      </w:pPr>
      <w:rPr>
        <w:rFonts w:hint="default"/>
      </w:rPr>
    </w:lvl>
    <w:lvl w:ilvl="1">
      <w:start w:val="1"/>
      <w:numFmt w:val="upperRoman"/>
      <w:pStyle w:val="Heading2"/>
      <w:lvlText w:val="%2."/>
      <w:lvlJc w:val="left"/>
      <w:pPr>
        <w:tabs>
          <w:tab w:val="num" w:pos="1836"/>
        </w:tabs>
        <w:ind w:left="1836" w:hanging="576"/>
      </w:pPr>
      <w:rPr>
        <w:rFonts w:hint="default"/>
      </w:rPr>
    </w:lvl>
    <w:lvl w:ilvl="2">
      <w:start w:val="1"/>
      <w:numFmt w:val="upperLetter"/>
      <w:pStyle w:val="Heading3"/>
      <w:lvlText w:val="%3."/>
      <w:lvlJc w:val="left"/>
      <w:pPr>
        <w:ind w:left="1152" w:hanging="576"/>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43" w15:restartNumberingAfterBreak="0">
    <w:nsid w:val="4C4241FF"/>
    <w:multiLevelType w:val="multilevel"/>
    <w:tmpl w:val="7E9CA83A"/>
    <w:styleLink w:val="CurrentList3"/>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4D6845DE"/>
    <w:multiLevelType w:val="multilevel"/>
    <w:tmpl w:val="18E8BC86"/>
    <w:styleLink w:val="CurrentList42"/>
    <w:lvl w:ilvl="0">
      <w:start w:val="1"/>
      <w:numFmt w:val="none"/>
      <w:suff w:val="nothing"/>
      <w:lvlText w:val=""/>
      <w:lvlJc w:val="left"/>
      <w:pPr>
        <w:ind w:left="0" w:firstLine="0"/>
      </w:pPr>
      <w:rPr>
        <w:rFonts w:hint="default"/>
      </w:rPr>
    </w:lvl>
    <w:lvl w:ilvl="1">
      <w:start w:val="1"/>
      <w:numFmt w:val="upperRoman"/>
      <w:lvlText w:val="%2."/>
      <w:lvlJc w:val="left"/>
      <w:pPr>
        <w:tabs>
          <w:tab w:val="num" w:pos="1836"/>
        </w:tabs>
        <w:ind w:left="1836" w:hanging="576"/>
      </w:pPr>
      <w:rPr>
        <w:rFonts w:hint="default"/>
      </w:rPr>
    </w:lvl>
    <w:lvl w:ilvl="2">
      <w:start w:val="1"/>
      <w:numFmt w:val="upperLetter"/>
      <w:lvlText w:val="%3."/>
      <w:lvlJc w:val="left"/>
      <w:pPr>
        <w:ind w:left="1152" w:hanging="576"/>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45" w15:restartNumberingAfterBreak="0">
    <w:nsid w:val="51463558"/>
    <w:multiLevelType w:val="singleLevel"/>
    <w:tmpl w:val="BDAACFFA"/>
    <w:lvl w:ilvl="0">
      <w:start w:val="1"/>
      <w:numFmt w:val="bullet"/>
      <w:lvlRestart w:val="0"/>
      <w:pStyle w:val="Bullet1"/>
      <w:lvlText w:val="•"/>
      <w:lvlJc w:val="left"/>
      <w:pPr>
        <w:tabs>
          <w:tab w:val="num" w:pos="1440"/>
        </w:tabs>
        <w:ind w:left="1440" w:hanging="720"/>
      </w:pPr>
      <w:rPr>
        <w:rFonts w:ascii="Times New Roman" w:hAnsi="Times New Roman" w:cs="Times New Roman" w:hint="default"/>
      </w:rPr>
    </w:lvl>
  </w:abstractNum>
  <w:abstractNum w:abstractNumId="46" w15:restartNumberingAfterBreak="0">
    <w:nsid w:val="524A2F17"/>
    <w:multiLevelType w:val="multilevel"/>
    <w:tmpl w:val="1390BA92"/>
    <w:styleLink w:val="CurrentList40"/>
    <w:lvl w:ilvl="0">
      <w:start w:val="1"/>
      <w:numFmt w:val="none"/>
      <w:suff w:val="nothing"/>
      <w:lvlText w:val=""/>
      <w:lvlJc w:val="left"/>
      <w:pPr>
        <w:ind w:left="0" w:firstLine="0"/>
      </w:pPr>
      <w:rPr>
        <w:rFonts w:hint="default"/>
      </w:rPr>
    </w:lvl>
    <w:lvl w:ilvl="1">
      <w:start w:val="1"/>
      <w:numFmt w:val="upperRoman"/>
      <w:lvlText w:val="%2."/>
      <w:lvlJc w:val="left"/>
      <w:pPr>
        <w:tabs>
          <w:tab w:val="num" w:pos="1836"/>
        </w:tabs>
        <w:ind w:left="1836" w:hanging="576"/>
      </w:pPr>
      <w:rPr>
        <w:rFonts w:hint="default"/>
      </w:rPr>
    </w:lvl>
    <w:lvl w:ilvl="2">
      <w:start w:val="1"/>
      <w:numFmt w:val="upperLetter"/>
      <w:lvlText w:val="%3."/>
      <w:lvlJc w:val="left"/>
      <w:pPr>
        <w:ind w:left="1152" w:hanging="576"/>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47" w15:restartNumberingAfterBreak="0">
    <w:nsid w:val="54120F9E"/>
    <w:multiLevelType w:val="hybridMultilevel"/>
    <w:tmpl w:val="03449198"/>
    <w:lvl w:ilvl="0" w:tplc="B9A21828">
      <w:start w:val="1"/>
      <w:numFmt w:val="bullet"/>
      <w:lvlRestart w:val="0"/>
      <w:pStyle w:val="Bullet"/>
      <w:lvlText w:val="•"/>
      <w:lvlJc w:val="left"/>
      <w:pPr>
        <w:tabs>
          <w:tab w:val="num" w:pos="720"/>
        </w:tabs>
        <w:ind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8DA654C"/>
    <w:multiLevelType w:val="multilevel"/>
    <w:tmpl w:val="A420F7F4"/>
    <w:styleLink w:val="CurrentList18"/>
    <w:lvl w:ilvl="0">
      <w:start w:val="1"/>
      <w:numFmt w:val="none"/>
      <w:suff w:val="nothing"/>
      <w:lvlText w:val=""/>
      <w:lvlJc w:val="left"/>
      <w:pPr>
        <w:ind w:left="10" w:firstLine="0"/>
      </w:pPr>
      <w:rPr>
        <w:rFonts w:hint="default"/>
      </w:rPr>
    </w:lvl>
    <w:lvl w:ilvl="1">
      <w:start w:val="1"/>
      <w:numFmt w:val="upperRoman"/>
      <w:lvlText w:val="%2."/>
      <w:lvlJc w:val="left"/>
      <w:pPr>
        <w:tabs>
          <w:tab w:val="num" w:pos="432"/>
        </w:tabs>
        <w:ind w:left="432" w:hanging="432"/>
      </w:pPr>
      <w:rPr>
        <w:rFonts w:hint="default"/>
      </w:rPr>
    </w:lvl>
    <w:lvl w:ilvl="2">
      <w:start w:val="1"/>
      <w:numFmt w:val="decimal"/>
      <w:lvlText w:val="%3."/>
      <w:lvlJc w:val="left"/>
      <w:pPr>
        <w:ind w:left="1162" w:firstLine="0"/>
      </w:pPr>
      <w:rPr>
        <w:rFonts w:hint="default"/>
      </w:rPr>
    </w:lvl>
    <w:lvl w:ilvl="3">
      <w:start w:val="1"/>
      <w:numFmt w:val="lowerLetter"/>
      <w:lvlText w:val="%4)"/>
      <w:lvlJc w:val="left"/>
      <w:pPr>
        <w:ind w:left="1882" w:firstLine="0"/>
      </w:pPr>
      <w:rPr>
        <w:rFonts w:hint="default"/>
      </w:rPr>
    </w:lvl>
    <w:lvl w:ilvl="4">
      <w:start w:val="1"/>
      <w:numFmt w:val="decimal"/>
      <w:lvlText w:val="(%5)"/>
      <w:lvlJc w:val="left"/>
      <w:pPr>
        <w:ind w:left="2602" w:firstLine="0"/>
      </w:pPr>
      <w:rPr>
        <w:rFonts w:hint="default"/>
      </w:rPr>
    </w:lvl>
    <w:lvl w:ilvl="5">
      <w:start w:val="1"/>
      <w:numFmt w:val="lowerLetter"/>
      <w:lvlText w:val="(%6)"/>
      <w:lvlJc w:val="left"/>
      <w:pPr>
        <w:ind w:left="3322" w:firstLine="0"/>
      </w:pPr>
      <w:rPr>
        <w:rFonts w:hint="default"/>
      </w:rPr>
    </w:lvl>
    <w:lvl w:ilvl="6">
      <w:start w:val="1"/>
      <w:numFmt w:val="lowerRoman"/>
      <w:lvlText w:val="(%7)"/>
      <w:lvlJc w:val="left"/>
      <w:pPr>
        <w:ind w:left="4042" w:firstLine="0"/>
      </w:pPr>
      <w:rPr>
        <w:rFonts w:hint="default"/>
      </w:rPr>
    </w:lvl>
    <w:lvl w:ilvl="7">
      <w:start w:val="1"/>
      <w:numFmt w:val="lowerLetter"/>
      <w:lvlText w:val="(%8)"/>
      <w:lvlJc w:val="left"/>
      <w:pPr>
        <w:ind w:left="4762" w:firstLine="0"/>
      </w:pPr>
      <w:rPr>
        <w:rFonts w:hint="default"/>
      </w:rPr>
    </w:lvl>
    <w:lvl w:ilvl="8">
      <w:start w:val="1"/>
      <w:numFmt w:val="lowerRoman"/>
      <w:lvlText w:val="(%9)"/>
      <w:lvlJc w:val="left"/>
      <w:pPr>
        <w:ind w:left="5482" w:firstLine="0"/>
      </w:pPr>
      <w:rPr>
        <w:rFonts w:hint="default"/>
      </w:rPr>
    </w:lvl>
  </w:abstractNum>
  <w:abstractNum w:abstractNumId="49" w15:restartNumberingAfterBreak="0">
    <w:nsid w:val="58E054D2"/>
    <w:multiLevelType w:val="hybridMultilevel"/>
    <w:tmpl w:val="92A2C9BA"/>
    <w:lvl w:ilvl="0" w:tplc="9D02D930">
      <w:start w:val="1"/>
      <w:numFmt w:val="decimal"/>
      <w:lvlRestart w:val="0"/>
      <w:pStyle w:val="NumListDbl0"/>
      <w:lvlText w:val="%1."/>
      <w:lvlJc w:val="left"/>
      <w:pPr>
        <w:tabs>
          <w:tab w:val="num" w:pos="720"/>
        </w:tabs>
        <w:ind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FC6074"/>
    <w:multiLevelType w:val="hybridMultilevel"/>
    <w:tmpl w:val="BF780D50"/>
    <w:lvl w:ilvl="0" w:tplc="31B667B4">
      <w:start w:val="1"/>
      <w:numFmt w:val="bullet"/>
      <w:lvlRestart w:val="0"/>
      <w:pStyle w:val="Bullet2"/>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5A33162E"/>
    <w:multiLevelType w:val="multilevel"/>
    <w:tmpl w:val="685E3BD2"/>
    <w:styleLink w:val="CurrentList12"/>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2" w15:restartNumberingAfterBreak="0">
    <w:nsid w:val="5AB5269C"/>
    <w:multiLevelType w:val="hybridMultilevel"/>
    <w:tmpl w:val="D73CBBB4"/>
    <w:lvl w:ilvl="0" w:tplc="7BF01CF2">
      <w:start w:val="1"/>
      <w:numFmt w:val="decimal"/>
      <w:lvlRestart w:val="0"/>
      <w:pStyle w:val="NumListDbl1"/>
      <w:lvlText w:val="%1."/>
      <w:lvlJc w:val="left"/>
      <w:pPr>
        <w:tabs>
          <w:tab w:val="num" w:pos="720"/>
        </w:tabs>
        <w:ind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DF5D57"/>
    <w:multiLevelType w:val="hybridMultilevel"/>
    <w:tmpl w:val="3C5E7640"/>
    <w:lvl w:ilvl="0" w:tplc="FA8EA852">
      <w:start w:val="1"/>
      <w:numFmt w:val="decimal"/>
      <w:pStyle w:val="Heading4"/>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4" w15:restartNumberingAfterBreak="0">
    <w:nsid w:val="5D0D0D6B"/>
    <w:multiLevelType w:val="multilevel"/>
    <w:tmpl w:val="3ACAB8A2"/>
    <w:styleLink w:val="CurrentList30"/>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55" w15:restartNumberingAfterBreak="0">
    <w:nsid w:val="5FEA6252"/>
    <w:multiLevelType w:val="multilevel"/>
    <w:tmpl w:val="5D54DEB0"/>
    <w:styleLink w:val="CurrentList13"/>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15:restartNumberingAfterBreak="0">
    <w:nsid w:val="66C90844"/>
    <w:multiLevelType w:val="multilevel"/>
    <w:tmpl w:val="7D5C9D26"/>
    <w:styleLink w:val="CurrentList1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7" w15:restartNumberingAfterBreak="0">
    <w:nsid w:val="69372EA9"/>
    <w:multiLevelType w:val="multilevel"/>
    <w:tmpl w:val="6B726C12"/>
    <w:styleLink w:val="CurrentList7"/>
    <w:lvl w:ilvl="0">
      <w:start w:val="1"/>
      <w:numFmt w:val="upperRoman"/>
      <w:lvlText w:val="%1."/>
      <w:lvlJc w:val="left"/>
      <w:pPr>
        <w:ind w:left="432" w:hanging="432"/>
      </w:pPr>
      <w:rPr>
        <w:rFonts w:hint="default"/>
      </w:rPr>
    </w:lvl>
    <w:lvl w:ilvl="1">
      <w:start w:val="1"/>
      <w:numFmt w:val="upperLetter"/>
      <w:lvlText w:val="%2."/>
      <w:lvlJc w:val="left"/>
      <w:pPr>
        <w:ind w:left="432" w:hanging="432"/>
      </w:pPr>
      <w:rPr>
        <w:rFonts w:hint="default"/>
      </w:rPr>
    </w:lvl>
    <w:lvl w:ilvl="2">
      <w:start w:val="1"/>
      <w:numFmt w:val="decimal"/>
      <w:lvlText w:val="%3."/>
      <w:lvlJc w:val="left"/>
      <w:pPr>
        <w:ind w:left="864" w:hanging="432"/>
      </w:pPr>
      <w:rPr>
        <w:rFonts w:hint="default"/>
      </w:rPr>
    </w:lvl>
    <w:lvl w:ilvl="3">
      <w:start w:val="1"/>
      <w:numFmt w:val="lowerLetter"/>
      <w:lvlText w:val="%4."/>
      <w:lvlJc w:val="left"/>
      <w:pPr>
        <w:ind w:left="864" w:hanging="432"/>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6ADF3681"/>
    <w:multiLevelType w:val="multilevel"/>
    <w:tmpl w:val="CC402FCA"/>
    <w:styleLink w:val="CurrentList43"/>
    <w:lvl w:ilvl="0">
      <w:start w:val="1"/>
      <w:numFmt w:val="decimal"/>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9" w15:restartNumberingAfterBreak="0">
    <w:nsid w:val="6AE803C9"/>
    <w:multiLevelType w:val="hybridMultilevel"/>
    <w:tmpl w:val="761229BE"/>
    <w:lvl w:ilvl="0" w:tplc="E0B8B468">
      <w:start w:val="1"/>
      <w:numFmt w:val="bullet"/>
      <w:lvlRestart w:val="0"/>
      <w:pStyle w:val="Bullet0"/>
      <w:lvlText w:val="•"/>
      <w:lvlPicBulletId w:val="0"/>
      <w:lvlJc w:val="left"/>
      <w:pPr>
        <w:tabs>
          <w:tab w:val="num" w:pos="0"/>
        </w:tabs>
        <w:ind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E4770F0"/>
    <w:multiLevelType w:val="multilevel"/>
    <w:tmpl w:val="44783B00"/>
    <w:styleLink w:val="CurrentList15"/>
    <w:lvl w:ilvl="0">
      <w:start w:val="1"/>
      <w:numFmt w:val="upperRoman"/>
      <w:lvlText w:val="%1."/>
      <w:lvlJc w:val="right"/>
      <w:pPr>
        <w:ind w:left="720" w:hanging="360"/>
      </w:pPr>
    </w:lvl>
    <w:lvl w:ilvl="1">
      <w:start w:val="1"/>
      <w:numFmt w:val="upperLetter"/>
      <w:lvlText w:val="%2."/>
      <w:lvlJc w:val="left"/>
      <w:pPr>
        <w:ind w:left="1440" w:hanging="72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8832F1"/>
    <w:multiLevelType w:val="multilevel"/>
    <w:tmpl w:val="CE645CE0"/>
    <w:styleLink w:val="CurrentList16"/>
    <w:lvl w:ilvl="0">
      <w:start w:val="1"/>
      <w:numFmt w:val="none"/>
      <w:suff w:val="nothing"/>
      <w:lvlText w:val="%1."/>
      <w:lvlJc w:val="left"/>
      <w:pPr>
        <w:ind w:left="0" w:firstLine="0"/>
      </w:pPr>
      <w:rPr>
        <w:rFonts w:hint="default"/>
      </w:rPr>
    </w:lvl>
    <w:lvl w:ilvl="1">
      <w:start w:val="1"/>
      <w:numFmt w:val="upperLetter"/>
      <w:lvlText w:val="%2."/>
      <w:lvlJc w:val="left"/>
      <w:pPr>
        <w:ind w:left="432" w:firstLine="0"/>
      </w:pPr>
      <w:rPr>
        <w:rFonts w:hint="default"/>
      </w:rPr>
    </w:lvl>
    <w:lvl w:ilvl="2">
      <w:start w:val="1"/>
      <w:numFmt w:val="decimal"/>
      <w:lvlText w:val="%3."/>
      <w:lvlJc w:val="left"/>
      <w:pPr>
        <w:ind w:left="1152" w:firstLine="0"/>
      </w:pPr>
      <w:rPr>
        <w:rFonts w:hint="default"/>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62" w15:restartNumberingAfterBreak="0">
    <w:nsid w:val="6FAC5BC1"/>
    <w:multiLevelType w:val="singleLevel"/>
    <w:tmpl w:val="61C65B22"/>
    <w:lvl w:ilvl="0">
      <w:start w:val="1"/>
      <w:numFmt w:val="bullet"/>
      <w:lvlRestart w:val="0"/>
      <w:pStyle w:val="Bullet3"/>
      <w:lvlText w:val="•"/>
      <w:lvlJc w:val="left"/>
      <w:pPr>
        <w:tabs>
          <w:tab w:val="num" w:pos="720"/>
        </w:tabs>
        <w:ind w:left="720" w:hanging="720"/>
      </w:pPr>
      <w:rPr>
        <w:rFonts w:ascii="Times New Roman" w:hAnsi="Times New Roman" w:cs="Times New Roman" w:hint="default"/>
      </w:rPr>
    </w:lvl>
  </w:abstractNum>
  <w:abstractNum w:abstractNumId="63" w15:restartNumberingAfterBreak="0">
    <w:nsid w:val="707761AA"/>
    <w:multiLevelType w:val="multilevel"/>
    <w:tmpl w:val="AA8A2372"/>
    <w:styleLink w:val="CurrentList25"/>
    <w:lvl w:ilvl="0">
      <w:start w:val="1"/>
      <w:numFmt w:val="none"/>
      <w:suff w:val="nothing"/>
      <w:lvlText w:val=""/>
      <w:lvlJc w:val="left"/>
      <w:pPr>
        <w:ind w:left="2572" w:firstLine="0"/>
      </w:pPr>
      <w:rPr>
        <w:rFonts w:hint="default"/>
      </w:rPr>
    </w:lvl>
    <w:lvl w:ilvl="1">
      <w:start w:val="1"/>
      <w:numFmt w:val="upperRoman"/>
      <w:lvlText w:val="%2."/>
      <w:lvlJc w:val="left"/>
      <w:pPr>
        <w:tabs>
          <w:tab w:val="num" w:pos="2994"/>
        </w:tabs>
        <w:ind w:left="2994" w:hanging="432"/>
      </w:pPr>
      <w:rPr>
        <w:rFonts w:hint="default"/>
      </w:rPr>
    </w:lvl>
    <w:lvl w:ilvl="2">
      <w:start w:val="1"/>
      <w:numFmt w:val="upperLetter"/>
      <w:lvlText w:val="%3."/>
      <w:lvlJc w:val="left"/>
      <w:pPr>
        <w:tabs>
          <w:tab w:val="num" w:pos="3426"/>
        </w:tabs>
        <w:ind w:left="3426" w:hanging="432"/>
      </w:pPr>
      <w:rPr>
        <w:rFonts w:hint="default"/>
      </w:rPr>
    </w:lvl>
    <w:lvl w:ilvl="3">
      <w:start w:val="1"/>
      <w:numFmt w:val="decimal"/>
      <w:lvlText w:val="%4)"/>
      <w:lvlJc w:val="left"/>
      <w:pPr>
        <w:tabs>
          <w:tab w:val="num" w:pos="3858"/>
        </w:tabs>
        <w:ind w:left="3858" w:hanging="432"/>
      </w:pPr>
      <w:rPr>
        <w:rFonts w:hint="default"/>
      </w:rPr>
    </w:lvl>
    <w:lvl w:ilvl="4">
      <w:start w:val="1"/>
      <w:numFmt w:val="decimal"/>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64" w15:restartNumberingAfterBreak="0">
    <w:nsid w:val="70EE182B"/>
    <w:multiLevelType w:val="hybridMultilevel"/>
    <w:tmpl w:val="F3E4FDCE"/>
    <w:lvl w:ilvl="0" w:tplc="7FE4F5DE">
      <w:start w:val="1"/>
      <w:numFmt w:val="decimal"/>
      <w:lvlRestart w:val="0"/>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F7095A"/>
    <w:multiLevelType w:val="multilevel"/>
    <w:tmpl w:val="CE866428"/>
    <w:styleLink w:val="CurrentList21"/>
    <w:lvl w:ilvl="0">
      <w:start w:val="1"/>
      <w:numFmt w:val="none"/>
      <w:suff w:val="nothing"/>
      <w:lvlText w:val=""/>
      <w:lvlJc w:val="left"/>
      <w:pPr>
        <w:ind w:left="1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ind w:left="3322" w:firstLine="0"/>
      </w:pPr>
      <w:rPr>
        <w:rFonts w:hint="default"/>
      </w:rPr>
    </w:lvl>
    <w:lvl w:ilvl="6">
      <w:start w:val="1"/>
      <w:numFmt w:val="lowerRoman"/>
      <w:lvlText w:val="(%7)"/>
      <w:lvlJc w:val="left"/>
      <w:pPr>
        <w:ind w:left="4042" w:firstLine="0"/>
      </w:pPr>
      <w:rPr>
        <w:rFonts w:hint="default"/>
      </w:rPr>
    </w:lvl>
    <w:lvl w:ilvl="7">
      <w:start w:val="1"/>
      <w:numFmt w:val="lowerLetter"/>
      <w:lvlText w:val="(%8)"/>
      <w:lvlJc w:val="left"/>
      <w:pPr>
        <w:ind w:left="4762" w:firstLine="0"/>
      </w:pPr>
      <w:rPr>
        <w:rFonts w:hint="default"/>
      </w:rPr>
    </w:lvl>
    <w:lvl w:ilvl="8">
      <w:start w:val="1"/>
      <w:numFmt w:val="lowerRoman"/>
      <w:lvlText w:val="(%9)"/>
      <w:lvlJc w:val="left"/>
      <w:pPr>
        <w:ind w:left="5482" w:firstLine="0"/>
      </w:pPr>
      <w:rPr>
        <w:rFonts w:hint="default"/>
      </w:rPr>
    </w:lvl>
  </w:abstractNum>
  <w:abstractNum w:abstractNumId="66" w15:restartNumberingAfterBreak="0">
    <w:nsid w:val="7262766E"/>
    <w:multiLevelType w:val="hybridMultilevel"/>
    <w:tmpl w:val="EBCED6CC"/>
    <w:lvl w:ilvl="0" w:tplc="83AA9D5A">
      <w:start w:val="1"/>
      <w:numFmt w:val="decimal"/>
      <w:lvlRestart w:val="0"/>
      <w:pStyle w:val="NumList"/>
      <w:lvlText w:val="%1."/>
      <w:lvlJc w:val="left"/>
      <w:pPr>
        <w:tabs>
          <w:tab w:val="num" w:pos="720"/>
        </w:tabs>
        <w:ind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2C3EF1"/>
    <w:multiLevelType w:val="multilevel"/>
    <w:tmpl w:val="A7108C6E"/>
    <w:styleLink w:val="CurrentList34"/>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68" w15:restartNumberingAfterBreak="0">
    <w:nsid w:val="771F3E95"/>
    <w:multiLevelType w:val="hybridMultilevel"/>
    <w:tmpl w:val="DD76B95E"/>
    <w:lvl w:ilvl="0" w:tplc="66A2CF08">
      <w:start w:val="1"/>
      <w:numFmt w:val="decimal"/>
      <w:lvlRestart w:val="0"/>
      <w:pStyle w:val="NumList0"/>
      <w:lvlText w:val="%1."/>
      <w:lvlJc w:val="left"/>
      <w:pPr>
        <w:tabs>
          <w:tab w:val="num" w:pos="0"/>
        </w:tabs>
        <w:ind w:firstLine="144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910220B"/>
    <w:multiLevelType w:val="multilevel"/>
    <w:tmpl w:val="78921A88"/>
    <w:styleLink w:val="CurrentList35"/>
    <w:lvl w:ilvl="0">
      <w:start w:val="1"/>
      <w:numFmt w:val="none"/>
      <w:suff w:val="nothing"/>
      <w:lvlText w:val=""/>
      <w:lvlJc w:val="left"/>
      <w:pPr>
        <w:ind w:left="0" w:firstLine="0"/>
      </w:pPr>
      <w:rPr>
        <w:rFonts w:hint="default"/>
      </w:rPr>
    </w:lvl>
    <w:lvl w:ilvl="1">
      <w:start w:val="1"/>
      <w:numFmt w:val="upperRoman"/>
      <w:lvlText w:val="%2."/>
      <w:lvlJc w:val="left"/>
      <w:pPr>
        <w:tabs>
          <w:tab w:val="num" w:pos="432"/>
        </w:tabs>
        <w:ind w:left="432" w:hanging="432"/>
      </w:pPr>
      <w:rPr>
        <w:rFonts w:hint="default"/>
      </w:rPr>
    </w:lvl>
    <w:lvl w:ilvl="2">
      <w:start w:val="1"/>
      <w:numFmt w:val="upperLetter"/>
      <w:lvlText w:val="%3."/>
      <w:lvlJc w:val="left"/>
      <w:pPr>
        <w:tabs>
          <w:tab w:val="num" w:pos="864"/>
        </w:tabs>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tabs>
          <w:tab w:val="num" w:pos="4290"/>
        </w:tabs>
        <w:ind w:left="4290" w:hanging="432"/>
      </w:pPr>
      <w:rPr>
        <w:rFonts w:hint="default"/>
      </w:rPr>
    </w:lvl>
    <w:lvl w:ilvl="5">
      <w:start w:val="1"/>
      <w:numFmt w:val="lowerLetter"/>
      <w:lvlText w:val="(%6)"/>
      <w:lvlJc w:val="left"/>
      <w:pPr>
        <w:ind w:left="5884" w:firstLine="0"/>
      </w:pPr>
      <w:rPr>
        <w:rFonts w:hint="default"/>
      </w:rPr>
    </w:lvl>
    <w:lvl w:ilvl="6">
      <w:start w:val="1"/>
      <w:numFmt w:val="lowerRoman"/>
      <w:lvlText w:val="(%7)"/>
      <w:lvlJc w:val="left"/>
      <w:pPr>
        <w:ind w:left="6604" w:firstLine="0"/>
      </w:pPr>
      <w:rPr>
        <w:rFonts w:hint="default"/>
      </w:rPr>
    </w:lvl>
    <w:lvl w:ilvl="7">
      <w:start w:val="1"/>
      <w:numFmt w:val="lowerLetter"/>
      <w:lvlText w:val="(%8)"/>
      <w:lvlJc w:val="left"/>
      <w:pPr>
        <w:ind w:left="7324" w:firstLine="0"/>
      </w:pPr>
      <w:rPr>
        <w:rFonts w:hint="default"/>
      </w:rPr>
    </w:lvl>
    <w:lvl w:ilvl="8">
      <w:start w:val="1"/>
      <w:numFmt w:val="lowerRoman"/>
      <w:lvlText w:val="(%9)"/>
      <w:lvlJc w:val="left"/>
      <w:pPr>
        <w:ind w:left="8044" w:firstLine="0"/>
      </w:pPr>
      <w:rPr>
        <w:rFonts w:hint="default"/>
      </w:rPr>
    </w:lvl>
  </w:abstractNum>
  <w:abstractNum w:abstractNumId="70" w15:restartNumberingAfterBreak="0">
    <w:nsid w:val="7DE76BFB"/>
    <w:multiLevelType w:val="hybridMultilevel"/>
    <w:tmpl w:val="D772F010"/>
    <w:lvl w:ilvl="0" w:tplc="71880792">
      <w:start w:val="1"/>
      <w:numFmt w:val="decimal"/>
      <w:lvlRestart w:val="0"/>
      <w:pStyle w:val="NumList1"/>
      <w:lvlText w:val="%1."/>
      <w:lvlJc w:val="left"/>
      <w:pPr>
        <w:tabs>
          <w:tab w:val="num" w:pos="0"/>
        </w:tabs>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F496A07"/>
    <w:multiLevelType w:val="multilevel"/>
    <w:tmpl w:val="9AE60BB4"/>
    <w:styleLink w:val="CurrentList5"/>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686491310">
    <w:abstractNumId w:val="62"/>
  </w:num>
  <w:num w:numId="2" w16cid:durableId="789974212">
    <w:abstractNumId w:val="47"/>
  </w:num>
  <w:num w:numId="3" w16cid:durableId="247159986">
    <w:abstractNumId w:val="59"/>
  </w:num>
  <w:num w:numId="4" w16cid:durableId="674378877">
    <w:abstractNumId w:val="45"/>
  </w:num>
  <w:num w:numId="5" w16cid:durableId="1460301740">
    <w:abstractNumId w:val="50"/>
  </w:num>
  <w:num w:numId="6" w16cid:durableId="429159802">
    <w:abstractNumId w:val="70"/>
  </w:num>
  <w:num w:numId="7" w16cid:durableId="1936547305">
    <w:abstractNumId w:val="66"/>
  </w:num>
  <w:num w:numId="8" w16cid:durableId="872233630">
    <w:abstractNumId w:val="68"/>
  </w:num>
  <w:num w:numId="9" w16cid:durableId="1126195260">
    <w:abstractNumId w:val="20"/>
  </w:num>
  <w:num w:numId="10" w16cid:durableId="300157302">
    <w:abstractNumId w:val="49"/>
  </w:num>
  <w:num w:numId="11" w16cid:durableId="709844940">
    <w:abstractNumId w:val="52"/>
  </w:num>
  <w:num w:numId="12" w16cid:durableId="548762262">
    <w:abstractNumId w:val="64"/>
  </w:num>
  <w:num w:numId="13" w16cid:durableId="830216380">
    <w:abstractNumId w:val="23"/>
  </w:num>
  <w:num w:numId="14" w16cid:durableId="895119239">
    <w:abstractNumId w:val="30"/>
  </w:num>
  <w:num w:numId="15" w16cid:durableId="1263879991">
    <w:abstractNumId w:val="36"/>
  </w:num>
  <w:num w:numId="16" w16cid:durableId="1259874322">
    <w:abstractNumId w:val="11"/>
  </w:num>
  <w:num w:numId="17" w16cid:durableId="2144958421">
    <w:abstractNumId w:val="33"/>
  </w:num>
  <w:num w:numId="18" w16cid:durableId="2007131918">
    <w:abstractNumId w:val="43"/>
  </w:num>
  <w:num w:numId="19" w16cid:durableId="1079667924">
    <w:abstractNumId w:val="35"/>
  </w:num>
  <w:num w:numId="20" w16cid:durableId="1131242801">
    <w:abstractNumId w:val="71"/>
  </w:num>
  <w:num w:numId="21" w16cid:durableId="1505705683">
    <w:abstractNumId w:val="19"/>
  </w:num>
  <w:num w:numId="22" w16cid:durableId="1904296663">
    <w:abstractNumId w:val="57"/>
  </w:num>
  <w:num w:numId="23" w16cid:durableId="408843315">
    <w:abstractNumId w:val="41"/>
  </w:num>
  <w:num w:numId="24" w16cid:durableId="474296989">
    <w:abstractNumId w:val="32"/>
  </w:num>
  <w:num w:numId="25" w16cid:durableId="306201212">
    <w:abstractNumId w:val="56"/>
  </w:num>
  <w:num w:numId="26" w16cid:durableId="1557887349">
    <w:abstractNumId w:val="22"/>
  </w:num>
  <w:num w:numId="27" w16cid:durableId="1063408360">
    <w:abstractNumId w:val="51"/>
  </w:num>
  <w:num w:numId="28" w16cid:durableId="1564410899">
    <w:abstractNumId w:val="55"/>
  </w:num>
  <w:num w:numId="29" w16cid:durableId="1984772102">
    <w:abstractNumId w:val="14"/>
  </w:num>
  <w:num w:numId="30" w16cid:durableId="139273458">
    <w:abstractNumId w:val="60"/>
  </w:num>
  <w:num w:numId="31" w16cid:durableId="2092771325">
    <w:abstractNumId w:val="61"/>
  </w:num>
  <w:num w:numId="32" w16cid:durableId="1107429333">
    <w:abstractNumId w:val="13"/>
  </w:num>
  <w:num w:numId="33" w16cid:durableId="1565330459">
    <w:abstractNumId w:val="48"/>
  </w:num>
  <w:num w:numId="34" w16cid:durableId="374543150">
    <w:abstractNumId w:val="39"/>
  </w:num>
  <w:num w:numId="35" w16cid:durableId="914510177">
    <w:abstractNumId w:val="27"/>
  </w:num>
  <w:num w:numId="36" w16cid:durableId="1790666610">
    <w:abstractNumId w:val="65"/>
  </w:num>
  <w:num w:numId="37" w16cid:durableId="709765496">
    <w:abstractNumId w:val="26"/>
  </w:num>
  <w:num w:numId="38" w16cid:durableId="649672442">
    <w:abstractNumId w:val="17"/>
  </w:num>
  <w:num w:numId="39" w16cid:durableId="1114791523">
    <w:abstractNumId w:val="21"/>
  </w:num>
  <w:num w:numId="40" w16cid:durableId="2072271603">
    <w:abstractNumId w:val="63"/>
  </w:num>
  <w:num w:numId="41" w16cid:durableId="540049247">
    <w:abstractNumId w:val="28"/>
  </w:num>
  <w:num w:numId="42" w16cid:durableId="1983464310">
    <w:abstractNumId w:val="42"/>
  </w:num>
  <w:num w:numId="43" w16cid:durableId="790785241">
    <w:abstractNumId w:val="38"/>
  </w:num>
  <w:num w:numId="44" w16cid:durableId="2007593456">
    <w:abstractNumId w:val="40"/>
  </w:num>
  <w:num w:numId="45" w16cid:durableId="612203818">
    <w:abstractNumId w:val="34"/>
  </w:num>
  <w:num w:numId="46" w16cid:durableId="111752657">
    <w:abstractNumId w:val="54"/>
  </w:num>
  <w:num w:numId="47" w16cid:durableId="1283611041">
    <w:abstractNumId w:val="18"/>
  </w:num>
  <w:num w:numId="48" w16cid:durableId="1427113308">
    <w:abstractNumId w:val="15"/>
  </w:num>
  <w:num w:numId="49" w16cid:durableId="1387680574">
    <w:abstractNumId w:val="37"/>
  </w:num>
  <w:num w:numId="50" w16cid:durableId="1659504177">
    <w:abstractNumId w:val="67"/>
  </w:num>
  <w:num w:numId="51" w16cid:durableId="786195554">
    <w:abstractNumId w:val="69"/>
  </w:num>
  <w:num w:numId="52" w16cid:durableId="957222180">
    <w:abstractNumId w:val="16"/>
  </w:num>
  <w:num w:numId="53" w16cid:durableId="466318809">
    <w:abstractNumId w:val="12"/>
  </w:num>
  <w:num w:numId="54" w16cid:durableId="67968847">
    <w:abstractNumId w:val="29"/>
  </w:num>
  <w:num w:numId="55" w16cid:durableId="791630397">
    <w:abstractNumId w:val="10"/>
  </w:num>
  <w:num w:numId="56" w16cid:durableId="2136556440">
    <w:abstractNumId w:val="53"/>
  </w:num>
  <w:num w:numId="57" w16cid:durableId="1377386623">
    <w:abstractNumId w:val="53"/>
    <w:lvlOverride w:ilvl="0">
      <w:startOverride w:val="1"/>
    </w:lvlOverride>
  </w:num>
  <w:num w:numId="58" w16cid:durableId="527990619">
    <w:abstractNumId w:val="53"/>
    <w:lvlOverride w:ilvl="0">
      <w:startOverride w:val="1"/>
    </w:lvlOverride>
  </w:num>
  <w:num w:numId="59" w16cid:durableId="1856067325">
    <w:abstractNumId w:val="53"/>
    <w:lvlOverride w:ilvl="0">
      <w:startOverride w:val="1"/>
    </w:lvlOverride>
  </w:num>
  <w:num w:numId="60" w16cid:durableId="859663563">
    <w:abstractNumId w:val="46"/>
  </w:num>
  <w:num w:numId="61" w16cid:durableId="1621959272">
    <w:abstractNumId w:val="25"/>
  </w:num>
  <w:num w:numId="62" w16cid:durableId="1518544175">
    <w:abstractNumId w:val="24"/>
  </w:num>
  <w:num w:numId="63" w16cid:durableId="567231188">
    <w:abstractNumId w:val="44"/>
  </w:num>
  <w:num w:numId="64" w16cid:durableId="995495737">
    <w:abstractNumId w:val="31"/>
  </w:num>
  <w:num w:numId="65" w16cid:durableId="1109009355">
    <w:abstractNumId w:val="58"/>
  </w:num>
  <w:num w:numId="66" w16cid:durableId="295378987">
    <w:abstractNumId w:val="31"/>
    <w:lvlOverride w:ilvl="0">
      <w:startOverride w:val="1"/>
    </w:lvlOverride>
  </w:num>
  <w:num w:numId="67" w16cid:durableId="918641182">
    <w:abstractNumId w:val="0"/>
  </w:num>
  <w:num w:numId="68" w16cid:durableId="61031644">
    <w:abstractNumId w:val="1"/>
  </w:num>
  <w:num w:numId="69" w16cid:durableId="1970552320">
    <w:abstractNumId w:val="2"/>
  </w:num>
  <w:num w:numId="70" w16cid:durableId="1278372102">
    <w:abstractNumId w:val="3"/>
  </w:num>
  <w:num w:numId="71" w16cid:durableId="1715932361">
    <w:abstractNumId w:val="8"/>
  </w:num>
  <w:num w:numId="72" w16cid:durableId="1524711116">
    <w:abstractNumId w:val="4"/>
  </w:num>
  <w:num w:numId="73" w16cid:durableId="14118440">
    <w:abstractNumId w:val="5"/>
  </w:num>
  <w:num w:numId="74" w16cid:durableId="1456023429">
    <w:abstractNumId w:val="6"/>
  </w:num>
  <w:num w:numId="75" w16cid:durableId="2086409883">
    <w:abstractNumId w:val="7"/>
  </w:num>
  <w:num w:numId="76" w16cid:durableId="829642273">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0A83"/>
    <w:rsid w:val="00000CC5"/>
    <w:rsid w:val="00000FA6"/>
    <w:rsid w:val="00001697"/>
    <w:rsid w:val="000019BE"/>
    <w:rsid w:val="00001BB0"/>
    <w:rsid w:val="00001FC5"/>
    <w:rsid w:val="00002650"/>
    <w:rsid w:val="00002C24"/>
    <w:rsid w:val="00002F23"/>
    <w:rsid w:val="00003933"/>
    <w:rsid w:val="0000418C"/>
    <w:rsid w:val="00005278"/>
    <w:rsid w:val="000079E5"/>
    <w:rsid w:val="00007ABF"/>
    <w:rsid w:val="00007E51"/>
    <w:rsid w:val="00007EF4"/>
    <w:rsid w:val="000100CB"/>
    <w:rsid w:val="000101B1"/>
    <w:rsid w:val="00010B80"/>
    <w:rsid w:val="000116C3"/>
    <w:rsid w:val="00011CC0"/>
    <w:rsid w:val="00011F64"/>
    <w:rsid w:val="00011FFB"/>
    <w:rsid w:val="000123B9"/>
    <w:rsid w:val="00013511"/>
    <w:rsid w:val="00013CD0"/>
    <w:rsid w:val="000146FA"/>
    <w:rsid w:val="000148EC"/>
    <w:rsid w:val="0001535D"/>
    <w:rsid w:val="000154DC"/>
    <w:rsid w:val="00015A80"/>
    <w:rsid w:val="00015B11"/>
    <w:rsid w:val="00015E0D"/>
    <w:rsid w:val="000161D6"/>
    <w:rsid w:val="0001634E"/>
    <w:rsid w:val="00016406"/>
    <w:rsid w:val="00016BE0"/>
    <w:rsid w:val="00016D3C"/>
    <w:rsid w:val="00017559"/>
    <w:rsid w:val="000179A1"/>
    <w:rsid w:val="00017FAA"/>
    <w:rsid w:val="000201C6"/>
    <w:rsid w:val="000204CE"/>
    <w:rsid w:val="00020AF2"/>
    <w:rsid w:val="000216CA"/>
    <w:rsid w:val="00021AF9"/>
    <w:rsid w:val="00023337"/>
    <w:rsid w:val="00023973"/>
    <w:rsid w:val="00023C99"/>
    <w:rsid w:val="00023E83"/>
    <w:rsid w:val="00023FDA"/>
    <w:rsid w:val="0002418D"/>
    <w:rsid w:val="000254AE"/>
    <w:rsid w:val="00025682"/>
    <w:rsid w:val="000259F9"/>
    <w:rsid w:val="0002668D"/>
    <w:rsid w:val="00026BE1"/>
    <w:rsid w:val="00026BF4"/>
    <w:rsid w:val="00026FFE"/>
    <w:rsid w:val="0002720A"/>
    <w:rsid w:val="00027EAD"/>
    <w:rsid w:val="000303F8"/>
    <w:rsid w:val="000314F3"/>
    <w:rsid w:val="00031A52"/>
    <w:rsid w:val="00031B14"/>
    <w:rsid w:val="00032548"/>
    <w:rsid w:val="00032BE5"/>
    <w:rsid w:val="00032D60"/>
    <w:rsid w:val="00033959"/>
    <w:rsid w:val="0003473B"/>
    <w:rsid w:val="00034B30"/>
    <w:rsid w:val="0003518A"/>
    <w:rsid w:val="000358D3"/>
    <w:rsid w:val="00035E1B"/>
    <w:rsid w:val="00036615"/>
    <w:rsid w:val="00037448"/>
    <w:rsid w:val="00037904"/>
    <w:rsid w:val="000401CE"/>
    <w:rsid w:val="00040FB2"/>
    <w:rsid w:val="0004136E"/>
    <w:rsid w:val="00041FEE"/>
    <w:rsid w:val="00042481"/>
    <w:rsid w:val="00042861"/>
    <w:rsid w:val="00042B89"/>
    <w:rsid w:val="00043E1E"/>
    <w:rsid w:val="0004426D"/>
    <w:rsid w:val="000449BA"/>
    <w:rsid w:val="00044CB4"/>
    <w:rsid w:val="00044D61"/>
    <w:rsid w:val="0004524F"/>
    <w:rsid w:val="00045455"/>
    <w:rsid w:val="00045625"/>
    <w:rsid w:val="00045A43"/>
    <w:rsid w:val="000464F3"/>
    <w:rsid w:val="0004696A"/>
    <w:rsid w:val="00046CFA"/>
    <w:rsid w:val="0004714D"/>
    <w:rsid w:val="0004763B"/>
    <w:rsid w:val="00047942"/>
    <w:rsid w:val="00047E26"/>
    <w:rsid w:val="0005014B"/>
    <w:rsid w:val="00050B8B"/>
    <w:rsid w:val="00052284"/>
    <w:rsid w:val="00052E18"/>
    <w:rsid w:val="00053253"/>
    <w:rsid w:val="00053A16"/>
    <w:rsid w:val="00054470"/>
    <w:rsid w:val="000544E1"/>
    <w:rsid w:val="00055640"/>
    <w:rsid w:val="00055BFD"/>
    <w:rsid w:val="000601DC"/>
    <w:rsid w:val="000606EE"/>
    <w:rsid w:val="00060A11"/>
    <w:rsid w:val="00061585"/>
    <w:rsid w:val="000618FF"/>
    <w:rsid w:val="00061BBD"/>
    <w:rsid w:val="00064C47"/>
    <w:rsid w:val="00065472"/>
    <w:rsid w:val="00065614"/>
    <w:rsid w:val="0006662D"/>
    <w:rsid w:val="00066F2D"/>
    <w:rsid w:val="00066FF0"/>
    <w:rsid w:val="000671EC"/>
    <w:rsid w:val="00067A1B"/>
    <w:rsid w:val="00070059"/>
    <w:rsid w:val="000704AF"/>
    <w:rsid w:val="00070822"/>
    <w:rsid w:val="00070B29"/>
    <w:rsid w:val="00070E13"/>
    <w:rsid w:val="000748DF"/>
    <w:rsid w:val="00075073"/>
    <w:rsid w:val="000752BE"/>
    <w:rsid w:val="00075326"/>
    <w:rsid w:val="00075553"/>
    <w:rsid w:val="000761E1"/>
    <w:rsid w:val="0007670F"/>
    <w:rsid w:val="000769D2"/>
    <w:rsid w:val="00076AA2"/>
    <w:rsid w:val="0007761B"/>
    <w:rsid w:val="00080855"/>
    <w:rsid w:val="00081C97"/>
    <w:rsid w:val="00081CBF"/>
    <w:rsid w:val="0008283A"/>
    <w:rsid w:val="0008284E"/>
    <w:rsid w:val="0008348F"/>
    <w:rsid w:val="00083541"/>
    <w:rsid w:val="00083A2B"/>
    <w:rsid w:val="000842A0"/>
    <w:rsid w:val="0008522A"/>
    <w:rsid w:val="0008565E"/>
    <w:rsid w:val="00086574"/>
    <w:rsid w:val="00087012"/>
    <w:rsid w:val="000905CB"/>
    <w:rsid w:val="00090D61"/>
    <w:rsid w:val="00090E34"/>
    <w:rsid w:val="00092198"/>
    <w:rsid w:val="00092519"/>
    <w:rsid w:val="00092BB4"/>
    <w:rsid w:val="00093601"/>
    <w:rsid w:val="00093DD3"/>
    <w:rsid w:val="00093E2E"/>
    <w:rsid w:val="00093F38"/>
    <w:rsid w:val="00094493"/>
    <w:rsid w:val="0009494E"/>
    <w:rsid w:val="00095497"/>
    <w:rsid w:val="00095D0C"/>
    <w:rsid w:val="000960B0"/>
    <w:rsid w:val="000960B5"/>
    <w:rsid w:val="000966E3"/>
    <w:rsid w:val="00096F74"/>
    <w:rsid w:val="00096F85"/>
    <w:rsid w:val="0009767D"/>
    <w:rsid w:val="000976B1"/>
    <w:rsid w:val="00097955"/>
    <w:rsid w:val="000A045D"/>
    <w:rsid w:val="000A0541"/>
    <w:rsid w:val="000A07B9"/>
    <w:rsid w:val="000A15BE"/>
    <w:rsid w:val="000A17D1"/>
    <w:rsid w:val="000A3487"/>
    <w:rsid w:val="000A3A48"/>
    <w:rsid w:val="000A3B8F"/>
    <w:rsid w:val="000A4AB4"/>
    <w:rsid w:val="000A4F60"/>
    <w:rsid w:val="000A59E8"/>
    <w:rsid w:val="000A64CC"/>
    <w:rsid w:val="000A6903"/>
    <w:rsid w:val="000A6A2A"/>
    <w:rsid w:val="000A76D9"/>
    <w:rsid w:val="000B1BDB"/>
    <w:rsid w:val="000B21C2"/>
    <w:rsid w:val="000B240A"/>
    <w:rsid w:val="000B25C6"/>
    <w:rsid w:val="000B28D8"/>
    <w:rsid w:val="000B321A"/>
    <w:rsid w:val="000B3994"/>
    <w:rsid w:val="000B4A4D"/>
    <w:rsid w:val="000B6748"/>
    <w:rsid w:val="000B77DE"/>
    <w:rsid w:val="000B7D51"/>
    <w:rsid w:val="000C0BE7"/>
    <w:rsid w:val="000C18B2"/>
    <w:rsid w:val="000C1F61"/>
    <w:rsid w:val="000C208E"/>
    <w:rsid w:val="000C214B"/>
    <w:rsid w:val="000C226A"/>
    <w:rsid w:val="000C2438"/>
    <w:rsid w:val="000C2759"/>
    <w:rsid w:val="000C322E"/>
    <w:rsid w:val="000C42BD"/>
    <w:rsid w:val="000C538C"/>
    <w:rsid w:val="000C5B31"/>
    <w:rsid w:val="000C5F34"/>
    <w:rsid w:val="000C697C"/>
    <w:rsid w:val="000C748A"/>
    <w:rsid w:val="000C7A55"/>
    <w:rsid w:val="000C7EE5"/>
    <w:rsid w:val="000D0031"/>
    <w:rsid w:val="000D1984"/>
    <w:rsid w:val="000D2E7D"/>
    <w:rsid w:val="000D31F9"/>
    <w:rsid w:val="000D4652"/>
    <w:rsid w:val="000D58D0"/>
    <w:rsid w:val="000D65A1"/>
    <w:rsid w:val="000D6A8F"/>
    <w:rsid w:val="000D6EB0"/>
    <w:rsid w:val="000D7EA4"/>
    <w:rsid w:val="000E0164"/>
    <w:rsid w:val="000E051A"/>
    <w:rsid w:val="000E05E0"/>
    <w:rsid w:val="000E1269"/>
    <w:rsid w:val="000E16FC"/>
    <w:rsid w:val="000E194E"/>
    <w:rsid w:val="000E2007"/>
    <w:rsid w:val="000E2936"/>
    <w:rsid w:val="000E2BA5"/>
    <w:rsid w:val="000E3767"/>
    <w:rsid w:val="000E37B7"/>
    <w:rsid w:val="000E38D3"/>
    <w:rsid w:val="000E44F8"/>
    <w:rsid w:val="000E4B0F"/>
    <w:rsid w:val="000E515A"/>
    <w:rsid w:val="000E5189"/>
    <w:rsid w:val="000E566D"/>
    <w:rsid w:val="000E57E3"/>
    <w:rsid w:val="000E598C"/>
    <w:rsid w:val="000E59CA"/>
    <w:rsid w:val="000E5FCF"/>
    <w:rsid w:val="000E6001"/>
    <w:rsid w:val="000E7807"/>
    <w:rsid w:val="000F091B"/>
    <w:rsid w:val="000F1573"/>
    <w:rsid w:val="000F1A11"/>
    <w:rsid w:val="000F211E"/>
    <w:rsid w:val="000F28A0"/>
    <w:rsid w:val="000F2FC7"/>
    <w:rsid w:val="000F3ABB"/>
    <w:rsid w:val="000F427C"/>
    <w:rsid w:val="000F4CE5"/>
    <w:rsid w:val="000F5503"/>
    <w:rsid w:val="000F5D98"/>
    <w:rsid w:val="000F5F8A"/>
    <w:rsid w:val="000F6619"/>
    <w:rsid w:val="000F6896"/>
    <w:rsid w:val="000F6FD1"/>
    <w:rsid w:val="000F7476"/>
    <w:rsid w:val="000F7F2A"/>
    <w:rsid w:val="0010052F"/>
    <w:rsid w:val="00100A0C"/>
    <w:rsid w:val="00102BC9"/>
    <w:rsid w:val="00103348"/>
    <w:rsid w:val="00103C76"/>
    <w:rsid w:val="00103CC2"/>
    <w:rsid w:val="00104681"/>
    <w:rsid w:val="00104987"/>
    <w:rsid w:val="00106005"/>
    <w:rsid w:val="00106655"/>
    <w:rsid w:val="0010695E"/>
    <w:rsid w:val="00106A35"/>
    <w:rsid w:val="00107928"/>
    <w:rsid w:val="00107A59"/>
    <w:rsid w:val="00110187"/>
    <w:rsid w:val="00110CF0"/>
    <w:rsid w:val="00110D97"/>
    <w:rsid w:val="00111BB4"/>
    <w:rsid w:val="0011244F"/>
    <w:rsid w:val="0011267F"/>
    <w:rsid w:val="00112991"/>
    <w:rsid w:val="00112BFA"/>
    <w:rsid w:val="00112C8E"/>
    <w:rsid w:val="0011470D"/>
    <w:rsid w:val="00114FBA"/>
    <w:rsid w:val="001154ED"/>
    <w:rsid w:val="0011571E"/>
    <w:rsid w:val="001157D3"/>
    <w:rsid w:val="001159A7"/>
    <w:rsid w:val="0011648E"/>
    <w:rsid w:val="00116E5D"/>
    <w:rsid w:val="00116F93"/>
    <w:rsid w:val="00117026"/>
    <w:rsid w:val="00117608"/>
    <w:rsid w:val="00117FF8"/>
    <w:rsid w:val="001201E4"/>
    <w:rsid w:val="00120461"/>
    <w:rsid w:val="001208BD"/>
    <w:rsid w:val="00121E64"/>
    <w:rsid w:val="001221A0"/>
    <w:rsid w:val="00122EF7"/>
    <w:rsid w:val="00123D75"/>
    <w:rsid w:val="00123D99"/>
    <w:rsid w:val="00124474"/>
    <w:rsid w:val="00124E67"/>
    <w:rsid w:val="00125FD0"/>
    <w:rsid w:val="001260B4"/>
    <w:rsid w:val="00127DFC"/>
    <w:rsid w:val="00127E91"/>
    <w:rsid w:val="00130A82"/>
    <w:rsid w:val="0013150B"/>
    <w:rsid w:val="001324D3"/>
    <w:rsid w:val="00133E13"/>
    <w:rsid w:val="00133E6E"/>
    <w:rsid w:val="00135367"/>
    <w:rsid w:val="001357EF"/>
    <w:rsid w:val="00135DAF"/>
    <w:rsid w:val="0013607C"/>
    <w:rsid w:val="00136797"/>
    <w:rsid w:val="001369CC"/>
    <w:rsid w:val="00136AF2"/>
    <w:rsid w:val="00136C5F"/>
    <w:rsid w:val="00136D07"/>
    <w:rsid w:val="00137851"/>
    <w:rsid w:val="001408DC"/>
    <w:rsid w:val="00140E2B"/>
    <w:rsid w:val="00141142"/>
    <w:rsid w:val="00141150"/>
    <w:rsid w:val="001412EA"/>
    <w:rsid w:val="00142EB9"/>
    <w:rsid w:val="00143959"/>
    <w:rsid w:val="00143DE0"/>
    <w:rsid w:val="00144555"/>
    <w:rsid w:val="00144770"/>
    <w:rsid w:val="001449BA"/>
    <w:rsid w:val="00144A26"/>
    <w:rsid w:val="00144AFD"/>
    <w:rsid w:val="00145892"/>
    <w:rsid w:val="001464AC"/>
    <w:rsid w:val="00147987"/>
    <w:rsid w:val="00150AB5"/>
    <w:rsid w:val="00150B27"/>
    <w:rsid w:val="00150F41"/>
    <w:rsid w:val="001518DC"/>
    <w:rsid w:val="001522D7"/>
    <w:rsid w:val="00152865"/>
    <w:rsid w:val="00152C67"/>
    <w:rsid w:val="00152D93"/>
    <w:rsid w:val="001530BF"/>
    <w:rsid w:val="00153802"/>
    <w:rsid w:val="00154BB8"/>
    <w:rsid w:val="001550E8"/>
    <w:rsid w:val="00155753"/>
    <w:rsid w:val="001558CF"/>
    <w:rsid w:val="001560C4"/>
    <w:rsid w:val="001566EA"/>
    <w:rsid w:val="0015718D"/>
    <w:rsid w:val="0015778B"/>
    <w:rsid w:val="00157BC6"/>
    <w:rsid w:val="00157E71"/>
    <w:rsid w:val="001602A8"/>
    <w:rsid w:val="00160937"/>
    <w:rsid w:val="00160940"/>
    <w:rsid w:val="0016096B"/>
    <w:rsid w:val="00160A28"/>
    <w:rsid w:val="00160A6D"/>
    <w:rsid w:val="001611E6"/>
    <w:rsid w:val="00161CD0"/>
    <w:rsid w:val="0016286E"/>
    <w:rsid w:val="0016404E"/>
    <w:rsid w:val="0016434D"/>
    <w:rsid w:val="0016480B"/>
    <w:rsid w:val="00165808"/>
    <w:rsid w:val="00165CAB"/>
    <w:rsid w:val="00165F5A"/>
    <w:rsid w:val="00166503"/>
    <w:rsid w:val="00166BA8"/>
    <w:rsid w:val="00166E15"/>
    <w:rsid w:val="001673F7"/>
    <w:rsid w:val="00167799"/>
    <w:rsid w:val="001702D7"/>
    <w:rsid w:val="001708B5"/>
    <w:rsid w:val="0017111E"/>
    <w:rsid w:val="00171443"/>
    <w:rsid w:val="00171739"/>
    <w:rsid w:val="00176CA0"/>
    <w:rsid w:val="00177780"/>
    <w:rsid w:val="001802EF"/>
    <w:rsid w:val="00180758"/>
    <w:rsid w:val="00180761"/>
    <w:rsid w:val="001808BF"/>
    <w:rsid w:val="0018178C"/>
    <w:rsid w:val="00181FED"/>
    <w:rsid w:val="0018214E"/>
    <w:rsid w:val="001829A2"/>
    <w:rsid w:val="0018531B"/>
    <w:rsid w:val="00185690"/>
    <w:rsid w:val="00185E3E"/>
    <w:rsid w:val="00186449"/>
    <w:rsid w:val="00186E1F"/>
    <w:rsid w:val="001906F0"/>
    <w:rsid w:val="00191AF1"/>
    <w:rsid w:val="00191CF7"/>
    <w:rsid w:val="00191F8C"/>
    <w:rsid w:val="001920B8"/>
    <w:rsid w:val="00192683"/>
    <w:rsid w:val="001926E2"/>
    <w:rsid w:val="001927A0"/>
    <w:rsid w:val="00192C04"/>
    <w:rsid w:val="001934BE"/>
    <w:rsid w:val="00193648"/>
    <w:rsid w:val="00193AE8"/>
    <w:rsid w:val="00194584"/>
    <w:rsid w:val="00194734"/>
    <w:rsid w:val="0019494E"/>
    <w:rsid w:val="00194B1C"/>
    <w:rsid w:val="00195A82"/>
    <w:rsid w:val="00195DBB"/>
    <w:rsid w:val="00196836"/>
    <w:rsid w:val="001968A2"/>
    <w:rsid w:val="00196CCB"/>
    <w:rsid w:val="00196D56"/>
    <w:rsid w:val="001976B4"/>
    <w:rsid w:val="00197815"/>
    <w:rsid w:val="001A095E"/>
    <w:rsid w:val="001A0B73"/>
    <w:rsid w:val="001A0DB7"/>
    <w:rsid w:val="001A0F24"/>
    <w:rsid w:val="001A0F6F"/>
    <w:rsid w:val="001A1E83"/>
    <w:rsid w:val="001A3180"/>
    <w:rsid w:val="001A3573"/>
    <w:rsid w:val="001A3BEA"/>
    <w:rsid w:val="001A3C52"/>
    <w:rsid w:val="001A4D14"/>
    <w:rsid w:val="001A50FC"/>
    <w:rsid w:val="001A5133"/>
    <w:rsid w:val="001A709C"/>
    <w:rsid w:val="001A7288"/>
    <w:rsid w:val="001A7E22"/>
    <w:rsid w:val="001B030D"/>
    <w:rsid w:val="001B066A"/>
    <w:rsid w:val="001B0893"/>
    <w:rsid w:val="001B0B2B"/>
    <w:rsid w:val="001B1851"/>
    <w:rsid w:val="001B31EB"/>
    <w:rsid w:val="001B35E0"/>
    <w:rsid w:val="001B362F"/>
    <w:rsid w:val="001B43BB"/>
    <w:rsid w:val="001B450F"/>
    <w:rsid w:val="001B451B"/>
    <w:rsid w:val="001B4DDE"/>
    <w:rsid w:val="001B5839"/>
    <w:rsid w:val="001B5EFD"/>
    <w:rsid w:val="001B6991"/>
    <w:rsid w:val="001B6B50"/>
    <w:rsid w:val="001B75B8"/>
    <w:rsid w:val="001B76D3"/>
    <w:rsid w:val="001B78E2"/>
    <w:rsid w:val="001B790F"/>
    <w:rsid w:val="001B7C69"/>
    <w:rsid w:val="001B7CBF"/>
    <w:rsid w:val="001C027F"/>
    <w:rsid w:val="001C17A6"/>
    <w:rsid w:val="001C26F1"/>
    <w:rsid w:val="001C27AE"/>
    <w:rsid w:val="001C29AA"/>
    <w:rsid w:val="001C2B7C"/>
    <w:rsid w:val="001C3514"/>
    <w:rsid w:val="001C3873"/>
    <w:rsid w:val="001C3AD5"/>
    <w:rsid w:val="001C3B32"/>
    <w:rsid w:val="001C3D03"/>
    <w:rsid w:val="001C4322"/>
    <w:rsid w:val="001C4633"/>
    <w:rsid w:val="001C5229"/>
    <w:rsid w:val="001C6580"/>
    <w:rsid w:val="001C6980"/>
    <w:rsid w:val="001D0404"/>
    <w:rsid w:val="001D0685"/>
    <w:rsid w:val="001D0BE5"/>
    <w:rsid w:val="001D173C"/>
    <w:rsid w:val="001D2852"/>
    <w:rsid w:val="001D286D"/>
    <w:rsid w:val="001D359C"/>
    <w:rsid w:val="001D411A"/>
    <w:rsid w:val="001D467B"/>
    <w:rsid w:val="001D4E56"/>
    <w:rsid w:val="001D4EA3"/>
    <w:rsid w:val="001D5439"/>
    <w:rsid w:val="001D59D0"/>
    <w:rsid w:val="001D5D10"/>
    <w:rsid w:val="001D5DA1"/>
    <w:rsid w:val="001D6044"/>
    <w:rsid w:val="001D6789"/>
    <w:rsid w:val="001E039C"/>
    <w:rsid w:val="001E0D52"/>
    <w:rsid w:val="001E1D30"/>
    <w:rsid w:val="001E1F35"/>
    <w:rsid w:val="001E27DF"/>
    <w:rsid w:val="001E2A56"/>
    <w:rsid w:val="001E3086"/>
    <w:rsid w:val="001E39A2"/>
    <w:rsid w:val="001E481E"/>
    <w:rsid w:val="001E4E3B"/>
    <w:rsid w:val="001E5148"/>
    <w:rsid w:val="001E5F26"/>
    <w:rsid w:val="001E6719"/>
    <w:rsid w:val="001E67E8"/>
    <w:rsid w:val="001E6B0C"/>
    <w:rsid w:val="001E6C44"/>
    <w:rsid w:val="001E721E"/>
    <w:rsid w:val="001E78EA"/>
    <w:rsid w:val="001F0425"/>
    <w:rsid w:val="001F0800"/>
    <w:rsid w:val="001F0910"/>
    <w:rsid w:val="001F0A79"/>
    <w:rsid w:val="001F0BF7"/>
    <w:rsid w:val="001F152F"/>
    <w:rsid w:val="001F2084"/>
    <w:rsid w:val="001F2450"/>
    <w:rsid w:val="001F2553"/>
    <w:rsid w:val="001F2BAE"/>
    <w:rsid w:val="001F3F75"/>
    <w:rsid w:val="001F42A2"/>
    <w:rsid w:val="001F42F3"/>
    <w:rsid w:val="001F4730"/>
    <w:rsid w:val="001F4C13"/>
    <w:rsid w:val="001F5BB9"/>
    <w:rsid w:val="001F7503"/>
    <w:rsid w:val="001F7AFB"/>
    <w:rsid w:val="00200968"/>
    <w:rsid w:val="00200C71"/>
    <w:rsid w:val="00200DFB"/>
    <w:rsid w:val="00200F56"/>
    <w:rsid w:val="002013EC"/>
    <w:rsid w:val="00201E88"/>
    <w:rsid w:val="002022D0"/>
    <w:rsid w:val="002024F0"/>
    <w:rsid w:val="00203094"/>
    <w:rsid w:val="00203E7B"/>
    <w:rsid w:val="00203F6C"/>
    <w:rsid w:val="00204710"/>
    <w:rsid w:val="0020640D"/>
    <w:rsid w:val="002065E1"/>
    <w:rsid w:val="00207ABF"/>
    <w:rsid w:val="00207BE6"/>
    <w:rsid w:val="00210519"/>
    <w:rsid w:val="0021061C"/>
    <w:rsid w:val="002109A9"/>
    <w:rsid w:val="00210B37"/>
    <w:rsid w:val="002124EB"/>
    <w:rsid w:val="002128A0"/>
    <w:rsid w:val="00212D0D"/>
    <w:rsid w:val="00213160"/>
    <w:rsid w:val="002136FD"/>
    <w:rsid w:val="00213829"/>
    <w:rsid w:val="00214415"/>
    <w:rsid w:val="00214C49"/>
    <w:rsid w:val="00214E8C"/>
    <w:rsid w:val="002163A9"/>
    <w:rsid w:val="00216802"/>
    <w:rsid w:val="00220081"/>
    <w:rsid w:val="00220AF9"/>
    <w:rsid w:val="0022225F"/>
    <w:rsid w:val="00222505"/>
    <w:rsid w:val="00222534"/>
    <w:rsid w:val="00222E5B"/>
    <w:rsid w:val="00222FDC"/>
    <w:rsid w:val="00224858"/>
    <w:rsid w:val="00224CDC"/>
    <w:rsid w:val="0022534C"/>
    <w:rsid w:val="00225444"/>
    <w:rsid w:val="0022617B"/>
    <w:rsid w:val="0022770B"/>
    <w:rsid w:val="00227BE1"/>
    <w:rsid w:val="0023020F"/>
    <w:rsid w:val="0023076D"/>
    <w:rsid w:val="00231E79"/>
    <w:rsid w:val="00232B8D"/>
    <w:rsid w:val="00232D36"/>
    <w:rsid w:val="00233562"/>
    <w:rsid w:val="00233BE2"/>
    <w:rsid w:val="002343B9"/>
    <w:rsid w:val="00236179"/>
    <w:rsid w:val="00236424"/>
    <w:rsid w:val="00236B3B"/>
    <w:rsid w:val="00236E94"/>
    <w:rsid w:val="002378C3"/>
    <w:rsid w:val="00237DD1"/>
    <w:rsid w:val="00237FEB"/>
    <w:rsid w:val="00240123"/>
    <w:rsid w:val="0024018A"/>
    <w:rsid w:val="002402FE"/>
    <w:rsid w:val="00240B4D"/>
    <w:rsid w:val="0024151D"/>
    <w:rsid w:val="002425BD"/>
    <w:rsid w:val="00242960"/>
    <w:rsid w:val="002429B5"/>
    <w:rsid w:val="00242CAB"/>
    <w:rsid w:val="0024355B"/>
    <w:rsid w:val="0024364E"/>
    <w:rsid w:val="0024448E"/>
    <w:rsid w:val="002452D6"/>
    <w:rsid w:val="0024530C"/>
    <w:rsid w:val="0024557D"/>
    <w:rsid w:val="00245761"/>
    <w:rsid w:val="00245DFB"/>
    <w:rsid w:val="00245E41"/>
    <w:rsid w:val="002461CC"/>
    <w:rsid w:val="00246464"/>
    <w:rsid w:val="002468E3"/>
    <w:rsid w:val="00250765"/>
    <w:rsid w:val="002510CC"/>
    <w:rsid w:val="0025145E"/>
    <w:rsid w:val="00252433"/>
    <w:rsid w:val="00252602"/>
    <w:rsid w:val="00253D27"/>
    <w:rsid w:val="00253D91"/>
    <w:rsid w:val="002552DC"/>
    <w:rsid w:val="00255610"/>
    <w:rsid w:val="00255ABA"/>
    <w:rsid w:val="00255FBB"/>
    <w:rsid w:val="00255FFC"/>
    <w:rsid w:val="002560DB"/>
    <w:rsid w:val="00256797"/>
    <w:rsid w:val="00256B0B"/>
    <w:rsid w:val="00256F3D"/>
    <w:rsid w:val="00257666"/>
    <w:rsid w:val="00257FA4"/>
    <w:rsid w:val="00260751"/>
    <w:rsid w:val="00261813"/>
    <w:rsid w:val="002619CA"/>
    <w:rsid w:val="00261A13"/>
    <w:rsid w:val="00261F2A"/>
    <w:rsid w:val="002620DD"/>
    <w:rsid w:val="00263434"/>
    <w:rsid w:val="00263448"/>
    <w:rsid w:val="00263569"/>
    <w:rsid w:val="00264698"/>
    <w:rsid w:val="00265CDA"/>
    <w:rsid w:val="002667B5"/>
    <w:rsid w:val="00267196"/>
    <w:rsid w:val="00267549"/>
    <w:rsid w:val="00267BB8"/>
    <w:rsid w:val="002700FB"/>
    <w:rsid w:val="00270481"/>
    <w:rsid w:val="00270EEF"/>
    <w:rsid w:val="002712FE"/>
    <w:rsid w:val="002728A4"/>
    <w:rsid w:val="0027339E"/>
    <w:rsid w:val="00273B9A"/>
    <w:rsid w:val="00273C9C"/>
    <w:rsid w:val="00273DFF"/>
    <w:rsid w:val="00274372"/>
    <w:rsid w:val="00274457"/>
    <w:rsid w:val="002756DC"/>
    <w:rsid w:val="00276E9E"/>
    <w:rsid w:val="00276FA9"/>
    <w:rsid w:val="00280294"/>
    <w:rsid w:val="00281BAF"/>
    <w:rsid w:val="00281EAE"/>
    <w:rsid w:val="00282A09"/>
    <w:rsid w:val="00283411"/>
    <w:rsid w:val="00283DB8"/>
    <w:rsid w:val="0028545B"/>
    <w:rsid w:val="00285590"/>
    <w:rsid w:val="00285732"/>
    <w:rsid w:val="002870FC"/>
    <w:rsid w:val="00287FB6"/>
    <w:rsid w:val="00291E5B"/>
    <w:rsid w:val="002933B5"/>
    <w:rsid w:val="00293942"/>
    <w:rsid w:val="0029396C"/>
    <w:rsid w:val="00293AE5"/>
    <w:rsid w:val="00294A98"/>
    <w:rsid w:val="0029558D"/>
    <w:rsid w:val="00295A0B"/>
    <w:rsid w:val="00295FA3"/>
    <w:rsid w:val="00296BC9"/>
    <w:rsid w:val="00297E3E"/>
    <w:rsid w:val="002A2044"/>
    <w:rsid w:val="002A39E0"/>
    <w:rsid w:val="002A4089"/>
    <w:rsid w:val="002A40BB"/>
    <w:rsid w:val="002A41D6"/>
    <w:rsid w:val="002A5709"/>
    <w:rsid w:val="002A5CF3"/>
    <w:rsid w:val="002A5DE0"/>
    <w:rsid w:val="002A5E27"/>
    <w:rsid w:val="002A6A86"/>
    <w:rsid w:val="002A6C12"/>
    <w:rsid w:val="002A72B0"/>
    <w:rsid w:val="002A7566"/>
    <w:rsid w:val="002A7AAE"/>
    <w:rsid w:val="002A7CC6"/>
    <w:rsid w:val="002A7F2F"/>
    <w:rsid w:val="002B0774"/>
    <w:rsid w:val="002B22E8"/>
    <w:rsid w:val="002B2448"/>
    <w:rsid w:val="002B2A71"/>
    <w:rsid w:val="002B3B44"/>
    <w:rsid w:val="002B40B9"/>
    <w:rsid w:val="002B454A"/>
    <w:rsid w:val="002B5112"/>
    <w:rsid w:val="002B5339"/>
    <w:rsid w:val="002B5A13"/>
    <w:rsid w:val="002B5BD0"/>
    <w:rsid w:val="002B5CC3"/>
    <w:rsid w:val="002B653B"/>
    <w:rsid w:val="002B6DBA"/>
    <w:rsid w:val="002B71C3"/>
    <w:rsid w:val="002B75BA"/>
    <w:rsid w:val="002B77AC"/>
    <w:rsid w:val="002B7AAE"/>
    <w:rsid w:val="002B7BBE"/>
    <w:rsid w:val="002C030F"/>
    <w:rsid w:val="002C066C"/>
    <w:rsid w:val="002C0AFF"/>
    <w:rsid w:val="002C1BDB"/>
    <w:rsid w:val="002C256A"/>
    <w:rsid w:val="002C426D"/>
    <w:rsid w:val="002C453D"/>
    <w:rsid w:val="002C49E8"/>
    <w:rsid w:val="002C519C"/>
    <w:rsid w:val="002C55CE"/>
    <w:rsid w:val="002C5DCB"/>
    <w:rsid w:val="002C62F3"/>
    <w:rsid w:val="002C647A"/>
    <w:rsid w:val="002C66B6"/>
    <w:rsid w:val="002C6993"/>
    <w:rsid w:val="002C6E01"/>
    <w:rsid w:val="002C75AD"/>
    <w:rsid w:val="002D0F48"/>
    <w:rsid w:val="002D2D40"/>
    <w:rsid w:val="002D2E6F"/>
    <w:rsid w:val="002D364E"/>
    <w:rsid w:val="002D3D87"/>
    <w:rsid w:val="002D4725"/>
    <w:rsid w:val="002D4F7E"/>
    <w:rsid w:val="002D5954"/>
    <w:rsid w:val="002D5A16"/>
    <w:rsid w:val="002D5BE1"/>
    <w:rsid w:val="002D5C1A"/>
    <w:rsid w:val="002D601A"/>
    <w:rsid w:val="002D6292"/>
    <w:rsid w:val="002D6D99"/>
    <w:rsid w:val="002D6F9C"/>
    <w:rsid w:val="002D7B21"/>
    <w:rsid w:val="002D7D37"/>
    <w:rsid w:val="002E268B"/>
    <w:rsid w:val="002E2F1D"/>
    <w:rsid w:val="002E340A"/>
    <w:rsid w:val="002E45E9"/>
    <w:rsid w:val="002E521D"/>
    <w:rsid w:val="002E5292"/>
    <w:rsid w:val="002E5A2F"/>
    <w:rsid w:val="002E6E90"/>
    <w:rsid w:val="002E72D2"/>
    <w:rsid w:val="002F03B8"/>
    <w:rsid w:val="002F0E07"/>
    <w:rsid w:val="002F1633"/>
    <w:rsid w:val="002F25BB"/>
    <w:rsid w:val="002F2B2C"/>
    <w:rsid w:val="002F2B63"/>
    <w:rsid w:val="002F2BCD"/>
    <w:rsid w:val="002F2CCA"/>
    <w:rsid w:val="002F3971"/>
    <w:rsid w:val="002F3A5F"/>
    <w:rsid w:val="002F3A62"/>
    <w:rsid w:val="002F45F4"/>
    <w:rsid w:val="002F4DE8"/>
    <w:rsid w:val="002F4EB1"/>
    <w:rsid w:val="002F591B"/>
    <w:rsid w:val="003006A5"/>
    <w:rsid w:val="003015BF"/>
    <w:rsid w:val="00301E22"/>
    <w:rsid w:val="00302BEF"/>
    <w:rsid w:val="00302F32"/>
    <w:rsid w:val="00302F7D"/>
    <w:rsid w:val="00303543"/>
    <w:rsid w:val="00303E9E"/>
    <w:rsid w:val="0030460C"/>
    <w:rsid w:val="00304868"/>
    <w:rsid w:val="00304917"/>
    <w:rsid w:val="003049E9"/>
    <w:rsid w:val="00305139"/>
    <w:rsid w:val="00305E2C"/>
    <w:rsid w:val="0030636F"/>
    <w:rsid w:val="003066FB"/>
    <w:rsid w:val="00307468"/>
    <w:rsid w:val="00307EFC"/>
    <w:rsid w:val="00310865"/>
    <w:rsid w:val="00310CE9"/>
    <w:rsid w:val="0031179D"/>
    <w:rsid w:val="00311D21"/>
    <w:rsid w:val="00311F52"/>
    <w:rsid w:val="003128D9"/>
    <w:rsid w:val="003132B5"/>
    <w:rsid w:val="00313CEC"/>
    <w:rsid w:val="003152F6"/>
    <w:rsid w:val="00315A5D"/>
    <w:rsid w:val="00316504"/>
    <w:rsid w:val="0031655B"/>
    <w:rsid w:val="00316642"/>
    <w:rsid w:val="0031675B"/>
    <w:rsid w:val="00316D28"/>
    <w:rsid w:val="00317449"/>
    <w:rsid w:val="003177E4"/>
    <w:rsid w:val="00317C31"/>
    <w:rsid w:val="00320350"/>
    <w:rsid w:val="00320B00"/>
    <w:rsid w:val="00320D19"/>
    <w:rsid w:val="003244DE"/>
    <w:rsid w:val="00325964"/>
    <w:rsid w:val="003259B1"/>
    <w:rsid w:val="0032620B"/>
    <w:rsid w:val="00326F7F"/>
    <w:rsid w:val="00327BBE"/>
    <w:rsid w:val="00327E9B"/>
    <w:rsid w:val="0033060F"/>
    <w:rsid w:val="00331C81"/>
    <w:rsid w:val="00331E2A"/>
    <w:rsid w:val="00331EF2"/>
    <w:rsid w:val="003320CF"/>
    <w:rsid w:val="003324A3"/>
    <w:rsid w:val="003324D1"/>
    <w:rsid w:val="00332770"/>
    <w:rsid w:val="00334133"/>
    <w:rsid w:val="00334653"/>
    <w:rsid w:val="00334D2F"/>
    <w:rsid w:val="00335310"/>
    <w:rsid w:val="00335456"/>
    <w:rsid w:val="00335640"/>
    <w:rsid w:val="0033592D"/>
    <w:rsid w:val="00335F75"/>
    <w:rsid w:val="00336199"/>
    <w:rsid w:val="003366E0"/>
    <w:rsid w:val="0033700B"/>
    <w:rsid w:val="00337512"/>
    <w:rsid w:val="00337BB2"/>
    <w:rsid w:val="00337E74"/>
    <w:rsid w:val="00341A2C"/>
    <w:rsid w:val="003428B0"/>
    <w:rsid w:val="003428D5"/>
    <w:rsid w:val="003429A6"/>
    <w:rsid w:val="003446FF"/>
    <w:rsid w:val="003448F4"/>
    <w:rsid w:val="00345554"/>
    <w:rsid w:val="00346392"/>
    <w:rsid w:val="003469B3"/>
    <w:rsid w:val="00347280"/>
    <w:rsid w:val="003473A9"/>
    <w:rsid w:val="00347B47"/>
    <w:rsid w:val="003508D9"/>
    <w:rsid w:val="00350E1A"/>
    <w:rsid w:val="00351F18"/>
    <w:rsid w:val="0035414B"/>
    <w:rsid w:val="003544C2"/>
    <w:rsid w:val="003550DD"/>
    <w:rsid w:val="00355D52"/>
    <w:rsid w:val="00356234"/>
    <w:rsid w:val="00356815"/>
    <w:rsid w:val="00357175"/>
    <w:rsid w:val="003576D4"/>
    <w:rsid w:val="00357A76"/>
    <w:rsid w:val="00357E87"/>
    <w:rsid w:val="0036025B"/>
    <w:rsid w:val="003604DD"/>
    <w:rsid w:val="00360EFA"/>
    <w:rsid w:val="00361A63"/>
    <w:rsid w:val="00361B70"/>
    <w:rsid w:val="003620FC"/>
    <w:rsid w:val="003624D5"/>
    <w:rsid w:val="00363019"/>
    <w:rsid w:val="0036301D"/>
    <w:rsid w:val="003631D1"/>
    <w:rsid w:val="0036320F"/>
    <w:rsid w:val="003636DB"/>
    <w:rsid w:val="00366919"/>
    <w:rsid w:val="0036715C"/>
    <w:rsid w:val="003700D5"/>
    <w:rsid w:val="003702AB"/>
    <w:rsid w:val="00370E48"/>
    <w:rsid w:val="003716F4"/>
    <w:rsid w:val="00371B56"/>
    <w:rsid w:val="00372B45"/>
    <w:rsid w:val="003730C9"/>
    <w:rsid w:val="00373546"/>
    <w:rsid w:val="00373EBF"/>
    <w:rsid w:val="003740A6"/>
    <w:rsid w:val="0037454A"/>
    <w:rsid w:val="003746F5"/>
    <w:rsid w:val="00376A7A"/>
    <w:rsid w:val="003771BC"/>
    <w:rsid w:val="0037786D"/>
    <w:rsid w:val="003779CD"/>
    <w:rsid w:val="00380E7D"/>
    <w:rsid w:val="00382CFE"/>
    <w:rsid w:val="00383182"/>
    <w:rsid w:val="003835E9"/>
    <w:rsid w:val="0038362B"/>
    <w:rsid w:val="0038445D"/>
    <w:rsid w:val="0038461E"/>
    <w:rsid w:val="00384FA9"/>
    <w:rsid w:val="00385138"/>
    <w:rsid w:val="00385798"/>
    <w:rsid w:val="00385A25"/>
    <w:rsid w:val="00386C9D"/>
    <w:rsid w:val="00390446"/>
    <w:rsid w:val="00392764"/>
    <w:rsid w:val="0039297F"/>
    <w:rsid w:val="00392C6B"/>
    <w:rsid w:val="00393F45"/>
    <w:rsid w:val="0039461F"/>
    <w:rsid w:val="00395266"/>
    <w:rsid w:val="0039567A"/>
    <w:rsid w:val="00397736"/>
    <w:rsid w:val="003A0830"/>
    <w:rsid w:val="003A08A8"/>
    <w:rsid w:val="003A0956"/>
    <w:rsid w:val="003A0B90"/>
    <w:rsid w:val="003A1470"/>
    <w:rsid w:val="003A1841"/>
    <w:rsid w:val="003A1968"/>
    <w:rsid w:val="003A1DD3"/>
    <w:rsid w:val="003A1F5C"/>
    <w:rsid w:val="003A32CA"/>
    <w:rsid w:val="003A38E6"/>
    <w:rsid w:val="003A417B"/>
    <w:rsid w:val="003A42FA"/>
    <w:rsid w:val="003A4FAC"/>
    <w:rsid w:val="003A6090"/>
    <w:rsid w:val="003A632B"/>
    <w:rsid w:val="003A65D4"/>
    <w:rsid w:val="003A6A09"/>
    <w:rsid w:val="003A6D0A"/>
    <w:rsid w:val="003A72E4"/>
    <w:rsid w:val="003A736E"/>
    <w:rsid w:val="003B02D3"/>
    <w:rsid w:val="003B037B"/>
    <w:rsid w:val="003B0659"/>
    <w:rsid w:val="003B1809"/>
    <w:rsid w:val="003B35D3"/>
    <w:rsid w:val="003B3D74"/>
    <w:rsid w:val="003B40E7"/>
    <w:rsid w:val="003B4AF6"/>
    <w:rsid w:val="003B4E2C"/>
    <w:rsid w:val="003B57E5"/>
    <w:rsid w:val="003B5C15"/>
    <w:rsid w:val="003B62D3"/>
    <w:rsid w:val="003B66B9"/>
    <w:rsid w:val="003B6BA1"/>
    <w:rsid w:val="003B6BEB"/>
    <w:rsid w:val="003B6DE2"/>
    <w:rsid w:val="003B6E73"/>
    <w:rsid w:val="003B7481"/>
    <w:rsid w:val="003B7BCB"/>
    <w:rsid w:val="003C0912"/>
    <w:rsid w:val="003C097E"/>
    <w:rsid w:val="003C09F1"/>
    <w:rsid w:val="003C0FF9"/>
    <w:rsid w:val="003C107E"/>
    <w:rsid w:val="003C129F"/>
    <w:rsid w:val="003C15F2"/>
    <w:rsid w:val="003C19CC"/>
    <w:rsid w:val="003C295B"/>
    <w:rsid w:val="003C29FD"/>
    <w:rsid w:val="003C331E"/>
    <w:rsid w:val="003C440B"/>
    <w:rsid w:val="003C48B1"/>
    <w:rsid w:val="003C61FC"/>
    <w:rsid w:val="003C62F8"/>
    <w:rsid w:val="003D0EE3"/>
    <w:rsid w:val="003D14EC"/>
    <w:rsid w:val="003D2025"/>
    <w:rsid w:val="003D30A6"/>
    <w:rsid w:val="003D30AB"/>
    <w:rsid w:val="003D323E"/>
    <w:rsid w:val="003D3741"/>
    <w:rsid w:val="003D375C"/>
    <w:rsid w:val="003D3EB2"/>
    <w:rsid w:val="003D51FE"/>
    <w:rsid w:val="003D55F5"/>
    <w:rsid w:val="003D5DC8"/>
    <w:rsid w:val="003D5E3F"/>
    <w:rsid w:val="003D5EE3"/>
    <w:rsid w:val="003D6B75"/>
    <w:rsid w:val="003D7539"/>
    <w:rsid w:val="003D7D30"/>
    <w:rsid w:val="003E05FB"/>
    <w:rsid w:val="003E0F93"/>
    <w:rsid w:val="003E1C95"/>
    <w:rsid w:val="003E25E5"/>
    <w:rsid w:val="003E2648"/>
    <w:rsid w:val="003E318C"/>
    <w:rsid w:val="003E3DB0"/>
    <w:rsid w:val="003E40D1"/>
    <w:rsid w:val="003E413C"/>
    <w:rsid w:val="003E447E"/>
    <w:rsid w:val="003E4640"/>
    <w:rsid w:val="003E4C66"/>
    <w:rsid w:val="003E4F43"/>
    <w:rsid w:val="003E60D1"/>
    <w:rsid w:val="003E624B"/>
    <w:rsid w:val="003E6AB1"/>
    <w:rsid w:val="003E6BC7"/>
    <w:rsid w:val="003E771C"/>
    <w:rsid w:val="003E77C8"/>
    <w:rsid w:val="003F0416"/>
    <w:rsid w:val="003F0806"/>
    <w:rsid w:val="003F08B5"/>
    <w:rsid w:val="003F0FE5"/>
    <w:rsid w:val="003F1085"/>
    <w:rsid w:val="003F28AD"/>
    <w:rsid w:val="003F2965"/>
    <w:rsid w:val="003F2A36"/>
    <w:rsid w:val="003F38B2"/>
    <w:rsid w:val="003F436C"/>
    <w:rsid w:val="003F48BF"/>
    <w:rsid w:val="003F55AC"/>
    <w:rsid w:val="003F6644"/>
    <w:rsid w:val="003F6935"/>
    <w:rsid w:val="003F6C95"/>
    <w:rsid w:val="003F71D2"/>
    <w:rsid w:val="003F7656"/>
    <w:rsid w:val="003F7837"/>
    <w:rsid w:val="003F79EE"/>
    <w:rsid w:val="0040003A"/>
    <w:rsid w:val="00401172"/>
    <w:rsid w:val="00401184"/>
    <w:rsid w:val="0040169F"/>
    <w:rsid w:val="004016AD"/>
    <w:rsid w:val="00403655"/>
    <w:rsid w:val="00404106"/>
    <w:rsid w:val="00404596"/>
    <w:rsid w:val="00404914"/>
    <w:rsid w:val="00404A1F"/>
    <w:rsid w:val="00405C03"/>
    <w:rsid w:val="0040607D"/>
    <w:rsid w:val="004070E6"/>
    <w:rsid w:val="0040777D"/>
    <w:rsid w:val="0041038C"/>
    <w:rsid w:val="00410575"/>
    <w:rsid w:val="00410712"/>
    <w:rsid w:val="00410B9B"/>
    <w:rsid w:val="00410F44"/>
    <w:rsid w:val="00411640"/>
    <w:rsid w:val="004124FB"/>
    <w:rsid w:val="0041297F"/>
    <w:rsid w:val="0041363E"/>
    <w:rsid w:val="00413A1A"/>
    <w:rsid w:val="00413DB8"/>
    <w:rsid w:val="00414138"/>
    <w:rsid w:val="00414358"/>
    <w:rsid w:val="0041440D"/>
    <w:rsid w:val="0041604A"/>
    <w:rsid w:val="004161DF"/>
    <w:rsid w:val="004162ED"/>
    <w:rsid w:val="00416DEF"/>
    <w:rsid w:val="0041704C"/>
    <w:rsid w:val="00417F3F"/>
    <w:rsid w:val="00420B9D"/>
    <w:rsid w:val="00420C17"/>
    <w:rsid w:val="00420E82"/>
    <w:rsid w:val="00421866"/>
    <w:rsid w:val="004219ED"/>
    <w:rsid w:val="00421C80"/>
    <w:rsid w:val="00421DA3"/>
    <w:rsid w:val="0042241D"/>
    <w:rsid w:val="004225A6"/>
    <w:rsid w:val="004228C3"/>
    <w:rsid w:val="00422FD1"/>
    <w:rsid w:val="004249FA"/>
    <w:rsid w:val="0042512F"/>
    <w:rsid w:val="00425AF8"/>
    <w:rsid w:val="004264D9"/>
    <w:rsid w:val="004265A8"/>
    <w:rsid w:val="0042676F"/>
    <w:rsid w:val="0042726A"/>
    <w:rsid w:val="00427D7B"/>
    <w:rsid w:val="0043025A"/>
    <w:rsid w:val="00430625"/>
    <w:rsid w:val="00431386"/>
    <w:rsid w:val="00432102"/>
    <w:rsid w:val="0043211D"/>
    <w:rsid w:val="0043224D"/>
    <w:rsid w:val="00432E97"/>
    <w:rsid w:val="00433679"/>
    <w:rsid w:val="0043383D"/>
    <w:rsid w:val="004339E4"/>
    <w:rsid w:val="00434A25"/>
    <w:rsid w:val="00434F9E"/>
    <w:rsid w:val="0043548E"/>
    <w:rsid w:val="004357AE"/>
    <w:rsid w:val="00435AA6"/>
    <w:rsid w:val="00435BAD"/>
    <w:rsid w:val="00435C78"/>
    <w:rsid w:val="00435D1C"/>
    <w:rsid w:val="004362B3"/>
    <w:rsid w:val="004366EB"/>
    <w:rsid w:val="004368DE"/>
    <w:rsid w:val="00436C24"/>
    <w:rsid w:val="00437076"/>
    <w:rsid w:val="0043763F"/>
    <w:rsid w:val="00440828"/>
    <w:rsid w:val="00440DCD"/>
    <w:rsid w:val="004414EF"/>
    <w:rsid w:val="00441E2F"/>
    <w:rsid w:val="00441FBE"/>
    <w:rsid w:val="00442FD8"/>
    <w:rsid w:val="004432C0"/>
    <w:rsid w:val="004432C3"/>
    <w:rsid w:val="00443649"/>
    <w:rsid w:val="00444169"/>
    <w:rsid w:val="004442BB"/>
    <w:rsid w:val="004446CC"/>
    <w:rsid w:val="00445272"/>
    <w:rsid w:val="00445438"/>
    <w:rsid w:val="00445904"/>
    <w:rsid w:val="00445C50"/>
    <w:rsid w:val="004460B0"/>
    <w:rsid w:val="004471EA"/>
    <w:rsid w:val="00447B06"/>
    <w:rsid w:val="0045034F"/>
    <w:rsid w:val="00450395"/>
    <w:rsid w:val="00450C90"/>
    <w:rsid w:val="00450DC0"/>
    <w:rsid w:val="00450DE1"/>
    <w:rsid w:val="00451291"/>
    <w:rsid w:val="00451E0F"/>
    <w:rsid w:val="00451F13"/>
    <w:rsid w:val="00452390"/>
    <w:rsid w:val="00452DAA"/>
    <w:rsid w:val="00454846"/>
    <w:rsid w:val="00454A04"/>
    <w:rsid w:val="00454F27"/>
    <w:rsid w:val="0045547F"/>
    <w:rsid w:val="004557FF"/>
    <w:rsid w:val="00455C57"/>
    <w:rsid w:val="00455D24"/>
    <w:rsid w:val="00455D5A"/>
    <w:rsid w:val="00456571"/>
    <w:rsid w:val="00456853"/>
    <w:rsid w:val="00456A7C"/>
    <w:rsid w:val="0046069A"/>
    <w:rsid w:val="004613AB"/>
    <w:rsid w:val="0046220F"/>
    <w:rsid w:val="004627EC"/>
    <w:rsid w:val="00462927"/>
    <w:rsid w:val="0046299C"/>
    <w:rsid w:val="004632BE"/>
    <w:rsid w:val="00463418"/>
    <w:rsid w:val="0046406A"/>
    <w:rsid w:val="00464D93"/>
    <w:rsid w:val="004654F7"/>
    <w:rsid w:val="00465673"/>
    <w:rsid w:val="004656B7"/>
    <w:rsid w:val="00465C52"/>
    <w:rsid w:val="00465E9E"/>
    <w:rsid w:val="00466A33"/>
    <w:rsid w:val="00466C44"/>
    <w:rsid w:val="0046765E"/>
    <w:rsid w:val="00467D1A"/>
    <w:rsid w:val="004700B1"/>
    <w:rsid w:val="0047038B"/>
    <w:rsid w:val="00470432"/>
    <w:rsid w:val="00470A70"/>
    <w:rsid w:val="00470AD0"/>
    <w:rsid w:val="0047119A"/>
    <w:rsid w:val="004718B0"/>
    <w:rsid w:val="00471B20"/>
    <w:rsid w:val="00471DB6"/>
    <w:rsid w:val="00473890"/>
    <w:rsid w:val="00474196"/>
    <w:rsid w:val="00474510"/>
    <w:rsid w:val="00475B4F"/>
    <w:rsid w:val="00475B93"/>
    <w:rsid w:val="00476762"/>
    <w:rsid w:val="00476AF5"/>
    <w:rsid w:val="004773E5"/>
    <w:rsid w:val="00480319"/>
    <w:rsid w:val="00480489"/>
    <w:rsid w:val="004813A4"/>
    <w:rsid w:val="004815FB"/>
    <w:rsid w:val="00481DB7"/>
    <w:rsid w:val="00482906"/>
    <w:rsid w:val="004830FD"/>
    <w:rsid w:val="00483390"/>
    <w:rsid w:val="00483483"/>
    <w:rsid w:val="00483A04"/>
    <w:rsid w:val="004843BE"/>
    <w:rsid w:val="0048549C"/>
    <w:rsid w:val="00485865"/>
    <w:rsid w:val="00486362"/>
    <w:rsid w:val="004864D6"/>
    <w:rsid w:val="00486EC3"/>
    <w:rsid w:val="0048714C"/>
    <w:rsid w:val="00487364"/>
    <w:rsid w:val="00487473"/>
    <w:rsid w:val="00487657"/>
    <w:rsid w:val="00487755"/>
    <w:rsid w:val="004903FB"/>
    <w:rsid w:val="00490787"/>
    <w:rsid w:val="0049081C"/>
    <w:rsid w:val="0049097C"/>
    <w:rsid w:val="00490C44"/>
    <w:rsid w:val="00490C98"/>
    <w:rsid w:val="00490C99"/>
    <w:rsid w:val="0049142E"/>
    <w:rsid w:val="00491457"/>
    <w:rsid w:val="00491D4D"/>
    <w:rsid w:val="00492B7C"/>
    <w:rsid w:val="004951AB"/>
    <w:rsid w:val="004951DB"/>
    <w:rsid w:val="00495FE0"/>
    <w:rsid w:val="004960DE"/>
    <w:rsid w:val="004964D3"/>
    <w:rsid w:val="00496854"/>
    <w:rsid w:val="00496971"/>
    <w:rsid w:val="004A0221"/>
    <w:rsid w:val="004A1709"/>
    <w:rsid w:val="004A2C32"/>
    <w:rsid w:val="004A583C"/>
    <w:rsid w:val="004A5EFE"/>
    <w:rsid w:val="004A63BD"/>
    <w:rsid w:val="004A79AB"/>
    <w:rsid w:val="004A7CAC"/>
    <w:rsid w:val="004A7E57"/>
    <w:rsid w:val="004A7E82"/>
    <w:rsid w:val="004B0484"/>
    <w:rsid w:val="004B0500"/>
    <w:rsid w:val="004B091E"/>
    <w:rsid w:val="004B1024"/>
    <w:rsid w:val="004B16FB"/>
    <w:rsid w:val="004B1D5B"/>
    <w:rsid w:val="004B1FFC"/>
    <w:rsid w:val="004B2373"/>
    <w:rsid w:val="004B41F2"/>
    <w:rsid w:val="004B45FB"/>
    <w:rsid w:val="004B599A"/>
    <w:rsid w:val="004B6853"/>
    <w:rsid w:val="004C00AF"/>
    <w:rsid w:val="004C01C7"/>
    <w:rsid w:val="004C048F"/>
    <w:rsid w:val="004C05E4"/>
    <w:rsid w:val="004C081F"/>
    <w:rsid w:val="004C0A51"/>
    <w:rsid w:val="004C1058"/>
    <w:rsid w:val="004C146D"/>
    <w:rsid w:val="004C23B7"/>
    <w:rsid w:val="004C2827"/>
    <w:rsid w:val="004C3075"/>
    <w:rsid w:val="004C35A2"/>
    <w:rsid w:val="004C3868"/>
    <w:rsid w:val="004C3D3F"/>
    <w:rsid w:val="004C561C"/>
    <w:rsid w:val="004C5963"/>
    <w:rsid w:val="004C6474"/>
    <w:rsid w:val="004D0AC8"/>
    <w:rsid w:val="004D1FDD"/>
    <w:rsid w:val="004D20CD"/>
    <w:rsid w:val="004D25F4"/>
    <w:rsid w:val="004D2D07"/>
    <w:rsid w:val="004D4236"/>
    <w:rsid w:val="004D4348"/>
    <w:rsid w:val="004D4864"/>
    <w:rsid w:val="004D5531"/>
    <w:rsid w:val="004D55B9"/>
    <w:rsid w:val="004D5896"/>
    <w:rsid w:val="004D5D6B"/>
    <w:rsid w:val="004D5ECC"/>
    <w:rsid w:val="004D6047"/>
    <w:rsid w:val="004D6341"/>
    <w:rsid w:val="004D72B4"/>
    <w:rsid w:val="004D7A01"/>
    <w:rsid w:val="004E0D08"/>
    <w:rsid w:val="004E0DF5"/>
    <w:rsid w:val="004E1022"/>
    <w:rsid w:val="004E12E6"/>
    <w:rsid w:val="004E1C50"/>
    <w:rsid w:val="004E1E9C"/>
    <w:rsid w:val="004E216D"/>
    <w:rsid w:val="004E2D4A"/>
    <w:rsid w:val="004E347A"/>
    <w:rsid w:val="004E34BE"/>
    <w:rsid w:val="004E414C"/>
    <w:rsid w:val="004E51A9"/>
    <w:rsid w:val="004E52BE"/>
    <w:rsid w:val="004E5FB7"/>
    <w:rsid w:val="004E6773"/>
    <w:rsid w:val="004E6B1C"/>
    <w:rsid w:val="004E6C3B"/>
    <w:rsid w:val="004E7245"/>
    <w:rsid w:val="004F015E"/>
    <w:rsid w:val="004F1103"/>
    <w:rsid w:val="004F2069"/>
    <w:rsid w:val="004F25F2"/>
    <w:rsid w:val="004F29A2"/>
    <w:rsid w:val="004F3A8E"/>
    <w:rsid w:val="004F4F95"/>
    <w:rsid w:val="004F5702"/>
    <w:rsid w:val="004F5F36"/>
    <w:rsid w:val="004F747C"/>
    <w:rsid w:val="005013BF"/>
    <w:rsid w:val="00501425"/>
    <w:rsid w:val="005015F9"/>
    <w:rsid w:val="00501764"/>
    <w:rsid w:val="00501B48"/>
    <w:rsid w:val="00501D87"/>
    <w:rsid w:val="00501F28"/>
    <w:rsid w:val="005020D2"/>
    <w:rsid w:val="0050308B"/>
    <w:rsid w:val="00503118"/>
    <w:rsid w:val="005036D2"/>
    <w:rsid w:val="0050403F"/>
    <w:rsid w:val="005041F3"/>
    <w:rsid w:val="0050548C"/>
    <w:rsid w:val="00505E41"/>
    <w:rsid w:val="00506A64"/>
    <w:rsid w:val="00506CBA"/>
    <w:rsid w:val="005070A8"/>
    <w:rsid w:val="005076FF"/>
    <w:rsid w:val="005106E9"/>
    <w:rsid w:val="0051085A"/>
    <w:rsid w:val="00510B1A"/>
    <w:rsid w:val="005111BD"/>
    <w:rsid w:val="00511AB1"/>
    <w:rsid w:val="00511B11"/>
    <w:rsid w:val="00511FA2"/>
    <w:rsid w:val="00511FBE"/>
    <w:rsid w:val="005122AA"/>
    <w:rsid w:val="005125C7"/>
    <w:rsid w:val="00512887"/>
    <w:rsid w:val="00512B1C"/>
    <w:rsid w:val="00513187"/>
    <w:rsid w:val="00513530"/>
    <w:rsid w:val="005136EA"/>
    <w:rsid w:val="00513EB8"/>
    <w:rsid w:val="00515092"/>
    <w:rsid w:val="005157C9"/>
    <w:rsid w:val="00515C0F"/>
    <w:rsid w:val="005172E8"/>
    <w:rsid w:val="005173BD"/>
    <w:rsid w:val="00517576"/>
    <w:rsid w:val="005204FD"/>
    <w:rsid w:val="00520629"/>
    <w:rsid w:val="00520AF6"/>
    <w:rsid w:val="00520B79"/>
    <w:rsid w:val="00521E23"/>
    <w:rsid w:val="00521E39"/>
    <w:rsid w:val="005223B5"/>
    <w:rsid w:val="00522418"/>
    <w:rsid w:val="0052273A"/>
    <w:rsid w:val="00522B9C"/>
    <w:rsid w:val="00523E39"/>
    <w:rsid w:val="00524037"/>
    <w:rsid w:val="00524E73"/>
    <w:rsid w:val="00525773"/>
    <w:rsid w:val="005257C7"/>
    <w:rsid w:val="00525BBA"/>
    <w:rsid w:val="005263C8"/>
    <w:rsid w:val="0052649E"/>
    <w:rsid w:val="005274C7"/>
    <w:rsid w:val="00527D4C"/>
    <w:rsid w:val="00527E40"/>
    <w:rsid w:val="00531089"/>
    <w:rsid w:val="005318EB"/>
    <w:rsid w:val="005329D9"/>
    <w:rsid w:val="005337CF"/>
    <w:rsid w:val="00534151"/>
    <w:rsid w:val="00535531"/>
    <w:rsid w:val="0053557D"/>
    <w:rsid w:val="0053570D"/>
    <w:rsid w:val="00535ECA"/>
    <w:rsid w:val="00537947"/>
    <w:rsid w:val="00537CBB"/>
    <w:rsid w:val="00540B74"/>
    <w:rsid w:val="00540D0C"/>
    <w:rsid w:val="00541407"/>
    <w:rsid w:val="00541616"/>
    <w:rsid w:val="00541A0A"/>
    <w:rsid w:val="00542362"/>
    <w:rsid w:val="00542741"/>
    <w:rsid w:val="005430B2"/>
    <w:rsid w:val="00543177"/>
    <w:rsid w:val="00543927"/>
    <w:rsid w:val="005445EE"/>
    <w:rsid w:val="00544EE6"/>
    <w:rsid w:val="00546953"/>
    <w:rsid w:val="00547BAE"/>
    <w:rsid w:val="00547E3B"/>
    <w:rsid w:val="00550A99"/>
    <w:rsid w:val="005510D8"/>
    <w:rsid w:val="0055138A"/>
    <w:rsid w:val="00551674"/>
    <w:rsid w:val="00551CF9"/>
    <w:rsid w:val="00552FDF"/>
    <w:rsid w:val="00553AFF"/>
    <w:rsid w:val="00553C92"/>
    <w:rsid w:val="005544BE"/>
    <w:rsid w:val="00554975"/>
    <w:rsid w:val="00556096"/>
    <w:rsid w:val="00556825"/>
    <w:rsid w:val="00556DAE"/>
    <w:rsid w:val="00556EA7"/>
    <w:rsid w:val="00557AD8"/>
    <w:rsid w:val="00557BD6"/>
    <w:rsid w:val="00557F16"/>
    <w:rsid w:val="00561027"/>
    <w:rsid w:val="005623FC"/>
    <w:rsid w:val="00562903"/>
    <w:rsid w:val="00562B17"/>
    <w:rsid w:val="00562B29"/>
    <w:rsid w:val="00564112"/>
    <w:rsid w:val="005655F0"/>
    <w:rsid w:val="0056560B"/>
    <w:rsid w:val="00566672"/>
    <w:rsid w:val="00566DF7"/>
    <w:rsid w:val="0056707D"/>
    <w:rsid w:val="00567522"/>
    <w:rsid w:val="0056763F"/>
    <w:rsid w:val="00567736"/>
    <w:rsid w:val="00567F63"/>
    <w:rsid w:val="005704B7"/>
    <w:rsid w:val="00571591"/>
    <w:rsid w:val="00573377"/>
    <w:rsid w:val="00573D42"/>
    <w:rsid w:val="00573E55"/>
    <w:rsid w:val="00574033"/>
    <w:rsid w:val="0057409E"/>
    <w:rsid w:val="00574475"/>
    <w:rsid w:val="0057502A"/>
    <w:rsid w:val="00575B0B"/>
    <w:rsid w:val="00575C16"/>
    <w:rsid w:val="00577AA4"/>
    <w:rsid w:val="00580681"/>
    <w:rsid w:val="00580ABE"/>
    <w:rsid w:val="00581086"/>
    <w:rsid w:val="005818CE"/>
    <w:rsid w:val="00582199"/>
    <w:rsid w:val="005831D8"/>
    <w:rsid w:val="0058394D"/>
    <w:rsid w:val="00583B19"/>
    <w:rsid w:val="005843B1"/>
    <w:rsid w:val="00585562"/>
    <w:rsid w:val="00585D16"/>
    <w:rsid w:val="005865A5"/>
    <w:rsid w:val="005867D0"/>
    <w:rsid w:val="00586ABA"/>
    <w:rsid w:val="0058756C"/>
    <w:rsid w:val="005879F5"/>
    <w:rsid w:val="00587FB7"/>
    <w:rsid w:val="00590789"/>
    <w:rsid w:val="00593857"/>
    <w:rsid w:val="00593B6A"/>
    <w:rsid w:val="00594E3D"/>
    <w:rsid w:val="00595C45"/>
    <w:rsid w:val="005968AC"/>
    <w:rsid w:val="00596AC4"/>
    <w:rsid w:val="00597129"/>
    <w:rsid w:val="005978DB"/>
    <w:rsid w:val="00597D04"/>
    <w:rsid w:val="005A06C3"/>
    <w:rsid w:val="005A2058"/>
    <w:rsid w:val="005A272C"/>
    <w:rsid w:val="005A4747"/>
    <w:rsid w:val="005A50E1"/>
    <w:rsid w:val="005A57A8"/>
    <w:rsid w:val="005A6225"/>
    <w:rsid w:val="005A6FE8"/>
    <w:rsid w:val="005A75A2"/>
    <w:rsid w:val="005A7885"/>
    <w:rsid w:val="005A7BE3"/>
    <w:rsid w:val="005B08AB"/>
    <w:rsid w:val="005B0AF6"/>
    <w:rsid w:val="005B128A"/>
    <w:rsid w:val="005B1470"/>
    <w:rsid w:val="005B19B7"/>
    <w:rsid w:val="005B1AC8"/>
    <w:rsid w:val="005B2753"/>
    <w:rsid w:val="005B35AD"/>
    <w:rsid w:val="005B6655"/>
    <w:rsid w:val="005B66BD"/>
    <w:rsid w:val="005B6F1A"/>
    <w:rsid w:val="005C1460"/>
    <w:rsid w:val="005C1472"/>
    <w:rsid w:val="005C1F2C"/>
    <w:rsid w:val="005C2852"/>
    <w:rsid w:val="005C2F26"/>
    <w:rsid w:val="005C30FF"/>
    <w:rsid w:val="005C3189"/>
    <w:rsid w:val="005C34AE"/>
    <w:rsid w:val="005C34FF"/>
    <w:rsid w:val="005C3AA9"/>
    <w:rsid w:val="005C4C7E"/>
    <w:rsid w:val="005C4EF5"/>
    <w:rsid w:val="005C5692"/>
    <w:rsid w:val="005C58E9"/>
    <w:rsid w:val="005C592A"/>
    <w:rsid w:val="005C5A59"/>
    <w:rsid w:val="005C6126"/>
    <w:rsid w:val="005C68E5"/>
    <w:rsid w:val="005C6E00"/>
    <w:rsid w:val="005C74F9"/>
    <w:rsid w:val="005C7816"/>
    <w:rsid w:val="005C7AD5"/>
    <w:rsid w:val="005D02E3"/>
    <w:rsid w:val="005D084A"/>
    <w:rsid w:val="005D35AB"/>
    <w:rsid w:val="005D5213"/>
    <w:rsid w:val="005D70C6"/>
    <w:rsid w:val="005D7614"/>
    <w:rsid w:val="005D7B85"/>
    <w:rsid w:val="005D7FDF"/>
    <w:rsid w:val="005E0A16"/>
    <w:rsid w:val="005E0E3E"/>
    <w:rsid w:val="005E123F"/>
    <w:rsid w:val="005E2C1F"/>
    <w:rsid w:val="005E2E26"/>
    <w:rsid w:val="005E3A13"/>
    <w:rsid w:val="005E3D2C"/>
    <w:rsid w:val="005E4621"/>
    <w:rsid w:val="005E4DC4"/>
    <w:rsid w:val="005E543D"/>
    <w:rsid w:val="005E6788"/>
    <w:rsid w:val="005E7B47"/>
    <w:rsid w:val="005F14D3"/>
    <w:rsid w:val="005F2C10"/>
    <w:rsid w:val="005F3211"/>
    <w:rsid w:val="005F35D0"/>
    <w:rsid w:val="005F3945"/>
    <w:rsid w:val="005F3DCE"/>
    <w:rsid w:val="005F3F4E"/>
    <w:rsid w:val="005F44E0"/>
    <w:rsid w:val="005F4BF1"/>
    <w:rsid w:val="005F61A5"/>
    <w:rsid w:val="005F69AE"/>
    <w:rsid w:val="005F6C2B"/>
    <w:rsid w:val="005F70F1"/>
    <w:rsid w:val="005F72D2"/>
    <w:rsid w:val="005F7BD9"/>
    <w:rsid w:val="00600557"/>
    <w:rsid w:val="006006E3"/>
    <w:rsid w:val="0060188B"/>
    <w:rsid w:val="006025C2"/>
    <w:rsid w:val="00602BE3"/>
    <w:rsid w:val="00603FE1"/>
    <w:rsid w:val="006047E5"/>
    <w:rsid w:val="00605202"/>
    <w:rsid w:val="006054BC"/>
    <w:rsid w:val="00605A5A"/>
    <w:rsid w:val="00605C03"/>
    <w:rsid w:val="00606F19"/>
    <w:rsid w:val="0060747B"/>
    <w:rsid w:val="00607959"/>
    <w:rsid w:val="0061036D"/>
    <w:rsid w:val="006105EB"/>
    <w:rsid w:val="00610869"/>
    <w:rsid w:val="0061096C"/>
    <w:rsid w:val="00610B0B"/>
    <w:rsid w:val="0061190D"/>
    <w:rsid w:val="006131EB"/>
    <w:rsid w:val="006134C3"/>
    <w:rsid w:val="006143EA"/>
    <w:rsid w:val="00614CD3"/>
    <w:rsid w:val="00616242"/>
    <w:rsid w:val="00616872"/>
    <w:rsid w:val="0061716B"/>
    <w:rsid w:val="006177F1"/>
    <w:rsid w:val="00617805"/>
    <w:rsid w:val="00617BA8"/>
    <w:rsid w:val="00617C6D"/>
    <w:rsid w:val="00620589"/>
    <w:rsid w:val="00620C1F"/>
    <w:rsid w:val="00620CC1"/>
    <w:rsid w:val="00620E2A"/>
    <w:rsid w:val="00620F84"/>
    <w:rsid w:val="0062125D"/>
    <w:rsid w:val="00621597"/>
    <w:rsid w:val="00621ED1"/>
    <w:rsid w:val="00622249"/>
    <w:rsid w:val="0062410F"/>
    <w:rsid w:val="00624632"/>
    <w:rsid w:val="00624A84"/>
    <w:rsid w:val="00624AFD"/>
    <w:rsid w:val="00624B45"/>
    <w:rsid w:val="00626193"/>
    <w:rsid w:val="006264D1"/>
    <w:rsid w:val="00626A01"/>
    <w:rsid w:val="00627862"/>
    <w:rsid w:val="00627977"/>
    <w:rsid w:val="00627F17"/>
    <w:rsid w:val="006301EA"/>
    <w:rsid w:val="00630A97"/>
    <w:rsid w:val="00631DFD"/>
    <w:rsid w:val="00632D44"/>
    <w:rsid w:val="00633991"/>
    <w:rsid w:val="00634059"/>
    <w:rsid w:val="006370A9"/>
    <w:rsid w:val="00637913"/>
    <w:rsid w:val="006409BF"/>
    <w:rsid w:val="00640AB5"/>
    <w:rsid w:val="00641319"/>
    <w:rsid w:val="0064305F"/>
    <w:rsid w:val="00643D16"/>
    <w:rsid w:val="00643E5A"/>
    <w:rsid w:val="00644107"/>
    <w:rsid w:val="0064550F"/>
    <w:rsid w:val="00645973"/>
    <w:rsid w:val="0064634E"/>
    <w:rsid w:val="006465BD"/>
    <w:rsid w:val="0064691D"/>
    <w:rsid w:val="00646D54"/>
    <w:rsid w:val="00647D6F"/>
    <w:rsid w:val="006505A1"/>
    <w:rsid w:val="006507B3"/>
    <w:rsid w:val="0065090F"/>
    <w:rsid w:val="0065197C"/>
    <w:rsid w:val="00652C27"/>
    <w:rsid w:val="00652D72"/>
    <w:rsid w:val="00652E05"/>
    <w:rsid w:val="006536B5"/>
    <w:rsid w:val="006550E0"/>
    <w:rsid w:val="0065520E"/>
    <w:rsid w:val="00655295"/>
    <w:rsid w:val="006552BB"/>
    <w:rsid w:val="00657918"/>
    <w:rsid w:val="00657F93"/>
    <w:rsid w:val="0066044B"/>
    <w:rsid w:val="006609F2"/>
    <w:rsid w:val="00660D15"/>
    <w:rsid w:val="00661492"/>
    <w:rsid w:val="00661963"/>
    <w:rsid w:val="00661C29"/>
    <w:rsid w:val="00662B5B"/>
    <w:rsid w:val="00662F09"/>
    <w:rsid w:val="0066348A"/>
    <w:rsid w:val="00663BEA"/>
    <w:rsid w:val="0066400C"/>
    <w:rsid w:val="00665105"/>
    <w:rsid w:val="006652EC"/>
    <w:rsid w:val="00667048"/>
    <w:rsid w:val="006702A9"/>
    <w:rsid w:val="00671145"/>
    <w:rsid w:val="00671260"/>
    <w:rsid w:val="006720D6"/>
    <w:rsid w:val="006727BD"/>
    <w:rsid w:val="00673BE0"/>
    <w:rsid w:val="00674AF5"/>
    <w:rsid w:val="00674CE7"/>
    <w:rsid w:val="0067561B"/>
    <w:rsid w:val="00680ACD"/>
    <w:rsid w:val="00681440"/>
    <w:rsid w:val="00681EC5"/>
    <w:rsid w:val="0068219C"/>
    <w:rsid w:val="006821B3"/>
    <w:rsid w:val="00682D83"/>
    <w:rsid w:val="00683497"/>
    <w:rsid w:val="006846A7"/>
    <w:rsid w:val="00685130"/>
    <w:rsid w:val="00685A43"/>
    <w:rsid w:val="0068656A"/>
    <w:rsid w:val="006870BF"/>
    <w:rsid w:val="006872AF"/>
    <w:rsid w:val="00687CE0"/>
    <w:rsid w:val="00690308"/>
    <w:rsid w:val="00690A95"/>
    <w:rsid w:val="00690EFF"/>
    <w:rsid w:val="00692077"/>
    <w:rsid w:val="006921B1"/>
    <w:rsid w:val="006937F0"/>
    <w:rsid w:val="006941D2"/>
    <w:rsid w:val="006944AD"/>
    <w:rsid w:val="00694A57"/>
    <w:rsid w:val="0069515B"/>
    <w:rsid w:val="006956B5"/>
    <w:rsid w:val="0069590F"/>
    <w:rsid w:val="00695BBB"/>
    <w:rsid w:val="00696360"/>
    <w:rsid w:val="00696B1E"/>
    <w:rsid w:val="00696FAC"/>
    <w:rsid w:val="00696FB1"/>
    <w:rsid w:val="006A1777"/>
    <w:rsid w:val="006A3091"/>
    <w:rsid w:val="006A408E"/>
    <w:rsid w:val="006A450B"/>
    <w:rsid w:val="006A568D"/>
    <w:rsid w:val="006A67B0"/>
    <w:rsid w:val="006A6F99"/>
    <w:rsid w:val="006A72D2"/>
    <w:rsid w:val="006B0DB0"/>
    <w:rsid w:val="006B1883"/>
    <w:rsid w:val="006B1D5F"/>
    <w:rsid w:val="006B2534"/>
    <w:rsid w:val="006B2592"/>
    <w:rsid w:val="006B4219"/>
    <w:rsid w:val="006B4403"/>
    <w:rsid w:val="006B4430"/>
    <w:rsid w:val="006B463D"/>
    <w:rsid w:val="006B476D"/>
    <w:rsid w:val="006B4AE7"/>
    <w:rsid w:val="006B4C57"/>
    <w:rsid w:val="006B5BC2"/>
    <w:rsid w:val="006B623F"/>
    <w:rsid w:val="006B6790"/>
    <w:rsid w:val="006B73DB"/>
    <w:rsid w:val="006B7BA6"/>
    <w:rsid w:val="006C0171"/>
    <w:rsid w:val="006C017A"/>
    <w:rsid w:val="006C3AD7"/>
    <w:rsid w:val="006C3B6C"/>
    <w:rsid w:val="006C557A"/>
    <w:rsid w:val="006C5680"/>
    <w:rsid w:val="006C5758"/>
    <w:rsid w:val="006C610C"/>
    <w:rsid w:val="006C63D0"/>
    <w:rsid w:val="006C65A3"/>
    <w:rsid w:val="006C672D"/>
    <w:rsid w:val="006C6A70"/>
    <w:rsid w:val="006C74CE"/>
    <w:rsid w:val="006C7BF8"/>
    <w:rsid w:val="006D044E"/>
    <w:rsid w:val="006D13A2"/>
    <w:rsid w:val="006D151F"/>
    <w:rsid w:val="006D1941"/>
    <w:rsid w:val="006D1F8F"/>
    <w:rsid w:val="006D27B8"/>
    <w:rsid w:val="006D36D6"/>
    <w:rsid w:val="006D36F2"/>
    <w:rsid w:val="006D445E"/>
    <w:rsid w:val="006D461D"/>
    <w:rsid w:val="006D483D"/>
    <w:rsid w:val="006D534D"/>
    <w:rsid w:val="006D5778"/>
    <w:rsid w:val="006D5A90"/>
    <w:rsid w:val="006D5CC0"/>
    <w:rsid w:val="006D7573"/>
    <w:rsid w:val="006E00D2"/>
    <w:rsid w:val="006E04EC"/>
    <w:rsid w:val="006E073D"/>
    <w:rsid w:val="006E20E0"/>
    <w:rsid w:val="006E2120"/>
    <w:rsid w:val="006E2D18"/>
    <w:rsid w:val="006E2F31"/>
    <w:rsid w:val="006E36B1"/>
    <w:rsid w:val="006E3D2B"/>
    <w:rsid w:val="006E4A0D"/>
    <w:rsid w:val="006E4FCC"/>
    <w:rsid w:val="006E52C1"/>
    <w:rsid w:val="006E5AD0"/>
    <w:rsid w:val="006E6CB4"/>
    <w:rsid w:val="006E6D2A"/>
    <w:rsid w:val="006E716A"/>
    <w:rsid w:val="006E727E"/>
    <w:rsid w:val="006E7FA5"/>
    <w:rsid w:val="006F0DA9"/>
    <w:rsid w:val="006F15C0"/>
    <w:rsid w:val="006F1F8D"/>
    <w:rsid w:val="006F2779"/>
    <w:rsid w:val="006F374D"/>
    <w:rsid w:val="006F4268"/>
    <w:rsid w:val="006F4CA7"/>
    <w:rsid w:val="006F4D71"/>
    <w:rsid w:val="006F5325"/>
    <w:rsid w:val="006F6C14"/>
    <w:rsid w:val="006F72C0"/>
    <w:rsid w:val="006F7DA4"/>
    <w:rsid w:val="006F7E2D"/>
    <w:rsid w:val="00700311"/>
    <w:rsid w:val="00700431"/>
    <w:rsid w:val="00700CD9"/>
    <w:rsid w:val="007017B7"/>
    <w:rsid w:val="007017F9"/>
    <w:rsid w:val="00702A4D"/>
    <w:rsid w:val="007035CA"/>
    <w:rsid w:val="007048F2"/>
    <w:rsid w:val="00705E25"/>
    <w:rsid w:val="00705E67"/>
    <w:rsid w:val="0070609F"/>
    <w:rsid w:val="00706C00"/>
    <w:rsid w:val="00710207"/>
    <w:rsid w:val="00710880"/>
    <w:rsid w:val="007109FD"/>
    <w:rsid w:val="00710D63"/>
    <w:rsid w:val="007112A7"/>
    <w:rsid w:val="00711674"/>
    <w:rsid w:val="00712138"/>
    <w:rsid w:val="0071471A"/>
    <w:rsid w:val="007153BF"/>
    <w:rsid w:val="00715619"/>
    <w:rsid w:val="00715935"/>
    <w:rsid w:val="007170B4"/>
    <w:rsid w:val="007175F7"/>
    <w:rsid w:val="00717C9B"/>
    <w:rsid w:val="00720C10"/>
    <w:rsid w:val="00720D8B"/>
    <w:rsid w:val="007212A3"/>
    <w:rsid w:val="0072191E"/>
    <w:rsid w:val="00721A0C"/>
    <w:rsid w:val="007224F7"/>
    <w:rsid w:val="007231E0"/>
    <w:rsid w:val="007239B0"/>
    <w:rsid w:val="00724138"/>
    <w:rsid w:val="00724339"/>
    <w:rsid w:val="007248DD"/>
    <w:rsid w:val="00724FC3"/>
    <w:rsid w:val="00725872"/>
    <w:rsid w:val="007262DC"/>
    <w:rsid w:val="00726483"/>
    <w:rsid w:val="00726718"/>
    <w:rsid w:val="00726F1D"/>
    <w:rsid w:val="0072739E"/>
    <w:rsid w:val="007277D9"/>
    <w:rsid w:val="00730492"/>
    <w:rsid w:val="00730666"/>
    <w:rsid w:val="007307E7"/>
    <w:rsid w:val="00730B10"/>
    <w:rsid w:val="007321F2"/>
    <w:rsid w:val="007329AB"/>
    <w:rsid w:val="00732E29"/>
    <w:rsid w:val="0073365C"/>
    <w:rsid w:val="007350E6"/>
    <w:rsid w:val="007353BC"/>
    <w:rsid w:val="00735B02"/>
    <w:rsid w:val="007360AE"/>
    <w:rsid w:val="00736245"/>
    <w:rsid w:val="00736679"/>
    <w:rsid w:val="007366A0"/>
    <w:rsid w:val="00736FC1"/>
    <w:rsid w:val="007374F1"/>
    <w:rsid w:val="00740055"/>
    <w:rsid w:val="00740DAA"/>
    <w:rsid w:val="00741447"/>
    <w:rsid w:val="007417E6"/>
    <w:rsid w:val="00741A16"/>
    <w:rsid w:val="00741ABD"/>
    <w:rsid w:val="00741C8E"/>
    <w:rsid w:val="00741D01"/>
    <w:rsid w:val="00742068"/>
    <w:rsid w:val="00742279"/>
    <w:rsid w:val="007424F4"/>
    <w:rsid w:val="007425B2"/>
    <w:rsid w:val="00742EC1"/>
    <w:rsid w:val="007436F8"/>
    <w:rsid w:val="00743A83"/>
    <w:rsid w:val="00743AF9"/>
    <w:rsid w:val="00744318"/>
    <w:rsid w:val="0074495A"/>
    <w:rsid w:val="00744ECA"/>
    <w:rsid w:val="0074539B"/>
    <w:rsid w:val="00745D10"/>
    <w:rsid w:val="0074615E"/>
    <w:rsid w:val="00746293"/>
    <w:rsid w:val="007462E8"/>
    <w:rsid w:val="007463B7"/>
    <w:rsid w:val="00746B8E"/>
    <w:rsid w:val="00747043"/>
    <w:rsid w:val="00747AC6"/>
    <w:rsid w:val="00747E94"/>
    <w:rsid w:val="00750011"/>
    <w:rsid w:val="00750935"/>
    <w:rsid w:val="007518E1"/>
    <w:rsid w:val="007519CB"/>
    <w:rsid w:val="007536BD"/>
    <w:rsid w:val="00756155"/>
    <w:rsid w:val="00756483"/>
    <w:rsid w:val="0075678B"/>
    <w:rsid w:val="00756A19"/>
    <w:rsid w:val="00757238"/>
    <w:rsid w:val="00757ED2"/>
    <w:rsid w:val="0076016C"/>
    <w:rsid w:val="007604E3"/>
    <w:rsid w:val="00760612"/>
    <w:rsid w:val="00760A67"/>
    <w:rsid w:val="007617A9"/>
    <w:rsid w:val="00762A1A"/>
    <w:rsid w:val="00762BCC"/>
    <w:rsid w:val="00762DC9"/>
    <w:rsid w:val="00763512"/>
    <w:rsid w:val="00763879"/>
    <w:rsid w:val="007640F0"/>
    <w:rsid w:val="00764260"/>
    <w:rsid w:val="00764DF8"/>
    <w:rsid w:val="00765025"/>
    <w:rsid w:val="00766241"/>
    <w:rsid w:val="00766B1E"/>
    <w:rsid w:val="00767173"/>
    <w:rsid w:val="00767CBF"/>
    <w:rsid w:val="00770142"/>
    <w:rsid w:val="00770296"/>
    <w:rsid w:val="00770DDA"/>
    <w:rsid w:val="00771CD6"/>
    <w:rsid w:val="00771CF4"/>
    <w:rsid w:val="0077369C"/>
    <w:rsid w:val="00774056"/>
    <w:rsid w:val="007740BB"/>
    <w:rsid w:val="00775132"/>
    <w:rsid w:val="00775586"/>
    <w:rsid w:val="00775B06"/>
    <w:rsid w:val="00775B14"/>
    <w:rsid w:val="00776529"/>
    <w:rsid w:val="00776D97"/>
    <w:rsid w:val="0078202B"/>
    <w:rsid w:val="0078209E"/>
    <w:rsid w:val="0078219B"/>
    <w:rsid w:val="00782F6E"/>
    <w:rsid w:val="00785E0C"/>
    <w:rsid w:val="0078675D"/>
    <w:rsid w:val="00786BC8"/>
    <w:rsid w:val="00786DCE"/>
    <w:rsid w:val="0078720C"/>
    <w:rsid w:val="0079052D"/>
    <w:rsid w:val="0079081D"/>
    <w:rsid w:val="00790A98"/>
    <w:rsid w:val="00790AF7"/>
    <w:rsid w:val="007923E6"/>
    <w:rsid w:val="007924B9"/>
    <w:rsid w:val="00793A75"/>
    <w:rsid w:val="00794684"/>
    <w:rsid w:val="007948F3"/>
    <w:rsid w:val="007956E0"/>
    <w:rsid w:val="007969B4"/>
    <w:rsid w:val="0079747F"/>
    <w:rsid w:val="00797625"/>
    <w:rsid w:val="0079762F"/>
    <w:rsid w:val="00797BFF"/>
    <w:rsid w:val="007A0052"/>
    <w:rsid w:val="007A0743"/>
    <w:rsid w:val="007A0DB4"/>
    <w:rsid w:val="007A1451"/>
    <w:rsid w:val="007A149F"/>
    <w:rsid w:val="007A1768"/>
    <w:rsid w:val="007A18D7"/>
    <w:rsid w:val="007A1F47"/>
    <w:rsid w:val="007A27D5"/>
    <w:rsid w:val="007A3BBB"/>
    <w:rsid w:val="007A3C50"/>
    <w:rsid w:val="007A5B20"/>
    <w:rsid w:val="007A5C21"/>
    <w:rsid w:val="007A5CFE"/>
    <w:rsid w:val="007A6A22"/>
    <w:rsid w:val="007A6E8C"/>
    <w:rsid w:val="007A75DA"/>
    <w:rsid w:val="007A7752"/>
    <w:rsid w:val="007A7D89"/>
    <w:rsid w:val="007B031B"/>
    <w:rsid w:val="007B0DE7"/>
    <w:rsid w:val="007B156B"/>
    <w:rsid w:val="007B2476"/>
    <w:rsid w:val="007B2E5F"/>
    <w:rsid w:val="007B3302"/>
    <w:rsid w:val="007B360F"/>
    <w:rsid w:val="007B3846"/>
    <w:rsid w:val="007B3AF3"/>
    <w:rsid w:val="007B3E99"/>
    <w:rsid w:val="007B42A2"/>
    <w:rsid w:val="007B48A5"/>
    <w:rsid w:val="007B50F1"/>
    <w:rsid w:val="007B5A68"/>
    <w:rsid w:val="007B5C6C"/>
    <w:rsid w:val="007B63CE"/>
    <w:rsid w:val="007B679C"/>
    <w:rsid w:val="007B69A5"/>
    <w:rsid w:val="007B6AEA"/>
    <w:rsid w:val="007B6DAB"/>
    <w:rsid w:val="007B6F1D"/>
    <w:rsid w:val="007B78D7"/>
    <w:rsid w:val="007B7B36"/>
    <w:rsid w:val="007B7F65"/>
    <w:rsid w:val="007C0CD8"/>
    <w:rsid w:val="007C1212"/>
    <w:rsid w:val="007C12EF"/>
    <w:rsid w:val="007C151D"/>
    <w:rsid w:val="007C2610"/>
    <w:rsid w:val="007C270F"/>
    <w:rsid w:val="007C3DB1"/>
    <w:rsid w:val="007C48D0"/>
    <w:rsid w:val="007C4A4B"/>
    <w:rsid w:val="007C4D72"/>
    <w:rsid w:val="007C53EF"/>
    <w:rsid w:val="007C5E01"/>
    <w:rsid w:val="007C7660"/>
    <w:rsid w:val="007D00D8"/>
    <w:rsid w:val="007D01E9"/>
    <w:rsid w:val="007D0201"/>
    <w:rsid w:val="007D0C19"/>
    <w:rsid w:val="007D109A"/>
    <w:rsid w:val="007D1281"/>
    <w:rsid w:val="007D1535"/>
    <w:rsid w:val="007D1B25"/>
    <w:rsid w:val="007D1E40"/>
    <w:rsid w:val="007D225D"/>
    <w:rsid w:val="007D2D8B"/>
    <w:rsid w:val="007D2F42"/>
    <w:rsid w:val="007D4088"/>
    <w:rsid w:val="007D5100"/>
    <w:rsid w:val="007D58A0"/>
    <w:rsid w:val="007D5C3C"/>
    <w:rsid w:val="007D5D38"/>
    <w:rsid w:val="007D6172"/>
    <w:rsid w:val="007D631A"/>
    <w:rsid w:val="007D68C0"/>
    <w:rsid w:val="007D69E0"/>
    <w:rsid w:val="007D6A94"/>
    <w:rsid w:val="007D7D63"/>
    <w:rsid w:val="007D7FF2"/>
    <w:rsid w:val="007E021A"/>
    <w:rsid w:val="007E136C"/>
    <w:rsid w:val="007E1DBD"/>
    <w:rsid w:val="007E25A7"/>
    <w:rsid w:val="007E2BC5"/>
    <w:rsid w:val="007E2C55"/>
    <w:rsid w:val="007E37CE"/>
    <w:rsid w:val="007E42E7"/>
    <w:rsid w:val="007E4AA0"/>
    <w:rsid w:val="007E68F9"/>
    <w:rsid w:val="007E71C6"/>
    <w:rsid w:val="007E73C9"/>
    <w:rsid w:val="007E75F7"/>
    <w:rsid w:val="007E7FD4"/>
    <w:rsid w:val="007F0411"/>
    <w:rsid w:val="007F0681"/>
    <w:rsid w:val="007F177A"/>
    <w:rsid w:val="007F2C95"/>
    <w:rsid w:val="007F2CD0"/>
    <w:rsid w:val="007F2FC9"/>
    <w:rsid w:val="007F3839"/>
    <w:rsid w:val="007F3ABB"/>
    <w:rsid w:val="007F4E26"/>
    <w:rsid w:val="007F5B7D"/>
    <w:rsid w:val="007F5BAB"/>
    <w:rsid w:val="007F620D"/>
    <w:rsid w:val="007F67A0"/>
    <w:rsid w:val="007F6812"/>
    <w:rsid w:val="007F6862"/>
    <w:rsid w:val="007F76BD"/>
    <w:rsid w:val="007F7D67"/>
    <w:rsid w:val="007F7FD4"/>
    <w:rsid w:val="0080152D"/>
    <w:rsid w:val="00801C40"/>
    <w:rsid w:val="00804B22"/>
    <w:rsid w:val="00804BCE"/>
    <w:rsid w:val="0080640D"/>
    <w:rsid w:val="00806963"/>
    <w:rsid w:val="008069C6"/>
    <w:rsid w:val="008071A8"/>
    <w:rsid w:val="00807439"/>
    <w:rsid w:val="00810644"/>
    <w:rsid w:val="00810C05"/>
    <w:rsid w:val="008117F2"/>
    <w:rsid w:val="00812478"/>
    <w:rsid w:val="00812911"/>
    <w:rsid w:val="00813A52"/>
    <w:rsid w:val="00813B1F"/>
    <w:rsid w:val="00813F4D"/>
    <w:rsid w:val="008148F8"/>
    <w:rsid w:val="00814E7A"/>
    <w:rsid w:val="00817689"/>
    <w:rsid w:val="00817F73"/>
    <w:rsid w:val="008211DD"/>
    <w:rsid w:val="00821BB0"/>
    <w:rsid w:val="00822195"/>
    <w:rsid w:val="00822AE7"/>
    <w:rsid w:val="00822D78"/>
    <w:rsid w:val="00823159"/>
    <w:rsid w:val="00823A1A"/>
    <w:rsid w:val="00823AEF"/>
    <w:rsid w:val="00823F1A"/>
    <w:rsid w:val="00825B96"/>
    <w:rsid w:val="00825CBA"/>
    <w:rsid w:val="0082612F"/>
    <w:rsid w:val="0082627B"/>
    <w:rsid w:val="00826B0C"/>
    <w:rsid w:val="00827D06"/>
    <w:rsid w:val="00830EA8"/>
    <w:rsid w:val="00831455"/>
    <w:rsid w:val="008319A4"/>
    <w:rsid w:val="00831A41"/>
    <w:rsid w:val="00831AB8"/>
    <w:rsid w:val="00832E30"/>
    <w:rsid w:val="008338C2"/>
    <w:rsid w:val="00833E4B"/>
    <w:rsid w:val="008347D9"/>
    <w:rsid w:val="00834A40"/>
    <w:rsid w:val="00834D0E"/>
    <w:rsid w:val="0083677A"/>
    <w:rsid w:val="00836A35"/>
    <w:rsid w:val="008373CA"/>
    <w:rsid w:val="00837B66"/>
    <w:rsid w:val="00840A2B"/>
    <w:rsid w:val="0084155E"/>
    <w:rsid w:val="008415C3"/>
    <w:rsid w:val="0084198D"/>
    <w:rsid w:val="008427DD"/>
    <w:rsid w:val="00842A7D"/>
    <w:rsid w:val="0084392B"/>
    <w:rsid w:val="00844482"/>
    <w:rsid w:val="00844F4B"/>
    <w:rsid w:val="0084584B"/>
    <w:rsid w:val="00845A12"/>
    <w:rsid w:val="0084624B"/>
    <w:rsid w:val="00846622"/>
    <w:rsid w:val="00846681"/>
    <w:rsid w:val="00850367"/>
    <w:rsid w:val="00851438"/>
    <w:rsid w:val="00851D7A"/>
    <w:rsid w:val="00851FE5"/>
    <w:rsid w:val="00852F58"/>
    <w:rsid w:val="0085310A"/>
    <w:rsid w:val="008531B4"/>
    <w:rsid w:val="0085346C"/>
    <w:rsid w:val="00853476"/>
    <w:rsid w:val="008536C8"/>
    <w:rsid w:val="008538EA"/>
    <w:rsid w:val="0085404A"/>
    <w:rsid w:val="0085495A"/>
    <w:rsid w:val="00854EB1"/>
    <w:rsid w:val="008550C8"/>
    <w:rsid w:val="0085545D"/>
    <w:rsid w:val="008559FC"/>
    <w:rsid w:val="00855ABA"/>
    <w:rsid w:val="0085638A"/>
    <w:rsid w:val="008567D3"/>
    <w:rsid w:val="00856EA9"/>
    <w:rsid w:val="008576A7"/>
    <w:rsid w:val="00857907"/>
    <w:rsid w:val="00860B88"/>
    <w:rsid w:val="008627CB"/>
    <w:rsid w:val="00862ACB"/>
    <w:rsid w:val="00862B53"/>
    <w:rsid w:val="00863207"/>
    <w:rsid w:val="00863730"/>
    <w:rsid w:val="00863A39"/>
    <w:rsid w:val="00863A3B"/>
    <w:rsid w:val="00863A99"/>
    <w:rsid w:val="00863BB1"/>
    <w:rsid w:val="00864465"/>
    <w:rsid w:val="00864676"/>
    <w:rsid w:val="008648B8"/>
    <w:rsid w:val="00864978"/>
    <w:rsid w:val="008649C1"/>
    <w:rsid w:val="00864AA3"/>
    <w:rsid w:val="00864C97"/>
    <w:rsid w:val="00864DA4"/>
    <w:rsid w:val="00865135"/>
    <w:rsid w:val="008659DC"/>
    <w:rsid w:val="00865A77"/>
    <w:rsid w:val="0086786F"/>
    <w:rsid w:val="00867EB2"/>
    <w:rsid w:val="00870FAC"/>
    <w:rsid w:val="008720C0"/>
    <w:rsid w:val="008720CA"/>
    <w:rsid w:val="00872FE6"/>
    <w:rsid w:val="008736B2"/>
    <w:rsid w:val="00874039"/>
    <w:rsid w:val="00874C24"/>
    <w:rsid w:val="0087516B"/>
    <w:rsid w:val="00875752"/>
    <w:rsid w:val="00876626"/>
    <w:rsid w:val="008767C9"/>
    <w:rsid w:val="0088067D"/>
    <w:rsid w:val="00880AF6"/>
    <w:rsid w:val="0088167D"/>
    <w:rsid w:val="00881F27"/>
    <w:rsid w:val="008829FA"/>
    <w:rsid w:val="00882C4E"/>
    <w:rsid w:val="00883711"/>
    <w:rsid w:val="00885596"/>
    <w:rsid w:val="00885EEA"/>
    <w:rsid w:val="008868DC"/>
    <w:rsid w:val="00886A53"/>
    <w:rsid w:val="00886A8F"/>
    <w:rsid w:val="008874F3"/>
    <w:rsid w:val="00887786"/>
    <w:rsid w:val="00887D8D"/>
    <w:rsid w:val="00890102"/>
    <w:rsid w:val="008903AD"/>
    <w:rsid w:val="0089060D"/>
    <w:rsid w:val="00890722"/>
    <w:rsid w:val="0089085D"/>
    <w:rsid w:val="00890FFF"/>
    <w:rsid w:val="00891912"/>
    <w:rsid w:val="00891D90"/>
    <w:rsid w:val="00892221"/>
    <w:rsid w:val="00893264"/>
    <w:rsid w:val="0089410A"/>
    <w:rsid w:val="00894374"/>
    <w:rsid w:val="008949F9"/>
    <w:rsid w:val="00895F1D"/>
    <w:rsid w:val="008960F6"/>
    <w:rsid w:val="0089624D"/>
    <w:rsid w:val="008967FC"/>
    <w:rsid w:val="00897213"/>
    <w:rsid w:val="00897E6E"/>
    <w:rsid w:val="008A0393"/>
    <w:rsid w:val="008A09D4"/>
    <w:rsid w:val="008A2354"/>
    <w:rsid w:val="008A24DA"/>
    <w:rsid w:val="008A30AF"/>
    <w:rsid w:val="008A347C"/>
    <w:rsid w:val="008A39AF"/>
    <w:rsid w:val="008A593C"/>
    <w:rsid w:val="008A5FDE"/>
    <w:rsid w:val="008A6304"/>
    <w:rsid w:val="008A751C"/>
    <w:rsid w:val="008A7BE4"/>
    <w:rsid w:val="008A7D02"/>
    <w:rsid w:val="008A7FB4"/>
    <w:rsid w:val="008B0E6A"/>
    <w:rsid w:val="008B0F57"/>
    <w:rsid w:val="008B1265"/>
    <w:rsid w:val="008B14A7"/>
    <w:rsid w:val="008B1FDA"/>
    <w:rsid w:val="008B29C8"/>
    <w:rsid w:val="008B2A85"/>
    <w:rsid w:val="008B2FD8"/>
    <w:rsid w:val="008B339E"/>
    <w:rsid w:val="008B3775"/>
    <w:rsid w:val="008B393A"/>
    <w:rsid w:val="008B4487"/>
    <w:rsid w:val="008B5012"/>
    <w:rsid w:val="008B5228"/>
    <w:rsid w:val="008B536D"/>
    <w:rsid w:val="008B5B6E"/>
    <w:rsid w:val="008B5FD9"/>
    <w:rsid w:val="008B6554"/>
    <w:rsid w:val="008B70B1"/>
    <w:rsid w:val="008B7188"/>
    <w:rsid w:val="008B7BAB"/>
    <w:rsid w:val="008C0692"/>
    <w:rsid w:val="008C14D8"/>
    <w:rsid w:val="008C1C5C"/>
    <w:rsid w:val="008C1E16"/>
    <w:rsid w:val="008C2FCD"/>
    <w:rsid w:val="008C463D"/>
    <w:rsid w:val="008C4921"/>
    <w:rsid w:val="008C4AD2"/>
    <w:rsid w:val="008C5277"/>
    <w:rsid w:val="008C5428"/>
    <w:rsid w:val="008C5715"/>
    <w:rsid w:val="008C60AB"/>
    <w:rsid w:val="008C651E"/>
    <w:rsid w:val="008C6729"/>
    <w:rsid w:val="008C6D05"/>
    <w:rsid w:val="008C7A10"/>
    <w:rsid w:val="008D00FA"/>
    <w:rsid w:val="008D0356"/>
    <w:rsid w:val="008D0E1D"/>
    <w:rsid w:val="008D0E27"/>
    <w:rsid w:val="008D14DD"/>
    <w:rsid w:val="008D1853"/>
    <w:rsid w:val="008D2123"/>
    <w:rsid w:val="008D3677"/>
    <w:rsid w:val="008D37FE"/>
    <w:rsid w:val="008D4B16"/>
    <w:rsid w:val="008D6C56"/>
    <w:rsid w:val="008D74E4"/>
    <w:rsid w:val="008D7B65"/>
    <w:rsid w:val="008D7E32"/>
    <w:rsid w:val="008E0073"/>
    <w:rsid w:val="008E0DAF"/>
    <w:rsid w:val="008E0DE7"/>
    <w:rsid w:val="008E14C7"/>
    <w:rsid w:val="008E172D"/>
    <w:rsid w:val="008E19C4"/>
    <w:rsid w:val="008E1BF5"/>
    <w:rsid w:val="008E28E1"/>
    <w:rsid w:val="008E3764"/>
    <w:rsid w:val="008E3A9B"/>
    <w:rsid w:val="008E3B2B"/>
    <w:rsid w:val="008E3B8B"/>
    <w:rsid w:val="008E4164"/>
    <w:rsid w:val="008E5116"/>
    <w:rsid w:val="008E5379"/>
    <w:rsid w:val="008E5428"/>
    <w:rsid w:val="008E5738"/>
    <w:rsid w:val="008E6663"/>
    <w:rsid w:val="008E740F"/>
    <w:rsid w:val="008E78EE"/>
    <w:rsid w:val="008E7D85"/>
    <w:rsid w:val="008F0F03"/>
    <w:rsid w:val="008F1D8B"/>
    <w:rsid w:val="008F2149"/>
    <w:rsid w:val="008F2246"/>
    <w:rsid w:val="008F35EC"/>
    <w:rsid w:val="008F3681"/>
    <w:rsid w:val="008F3952"/>
    <w:rsid w:val="008F4186"/>
    <w:rsid w:val="008F4A45"/>
    <w:rsid w:val="008F4B10"/>
    <w:rsid w:val="008F4FBC"/>
    <w:rsid w:val="008F50CF"/>
    <w:rsid w:val="008F5352"/>
    <w:rsid w:val="008F58F1"/>
    <w:rsid w:val="008F6229"/>
    <w:rsid w:val="008F6395"/>
    <w:rsid w:val="008F6585"/>
    <w:rsid w:val="008F6987"/>
    <w:rsid w:val="008F6A0D"/>
    <w:rsid w:val="008F6B2F"/>
    <w:rsid w:val="008F6FCB"/>
    <w:rsid w:val="008F7328"/>
    <w:rsid w:val="009006E6"/>
    <w:rsid w:val="0090088C"/>
    <w:rsid w:val="0090095D"/>
    <w:rsid w:val="009028A7"/>
    <w:rsid w:val="0090297A"/>
    <w:rsid w:val="009031F4"/>
    <w:rsid w:val="00903E6A"/>
    <w:rsid w:val="009058E3"/>
    <w:rsid w:val="00905A3B"/>
    <w:rsid w:val="00906029"/>
    <w:rsid w:val="009072CE"/>
    <w:rsid w:val="0091030E"/>
    <w:rsid w:val="00911702"/>
    <w:rsid w:val="00911C8D"/>
    <w:rsid w:val="00912378"/>
    <w:rsid w:val="009131C5"/>
    <w:rsid w:val="009131E6"/>
    <w:rsid w:val="00913324"/>
    <w:rsid w:val="00913F07"/>
    <w:rsid w:val="0091502A"/>
    <w:rsid w:val="00915C8E"/>
    <w:rsid w:val="00915E60"/>
    <w:rsid w:val="00916B3D"/>
    <w:rsid w:val="009178E1"/>
    <w:rsid w:val="00917A9A"/>
    <w:rsid w:val="00917BCE"/>
    <w:rsid w:val="009203C4"/>
    <w:rsid w:val="009208AF"/>
    <w:rsid w:val="00920945"/>
    <w:rsid w:val="00920E81"/>
    <w:rsid w:val="00921CBA"/>
    <w:rsid w:val="00923523"/>
    <w:rsid w:val="00923BE4"/>
    <w:rsid w:val="00923BEB"/>
    <w:rsid w:val="00924992"/>
    <w:rsid w:val="00925119"/>
    <w:rsid w:val="00925468"/>
    <w:rsid w:val="0092575C"/>
    <w:rsid w:val="0092578D"/>
    <w:rsid w:val="009272F6"/>
    <w:rsid w:val="009273F6"/>
    <w:rsid w:val="009279E7"/>
    <w:rsid w:val="009300B3"/>
    <w:rsid w:val="009301ED"/>
    <w:rsid w:val="00930972"/>
    <w:rsid w:val="00932C7C"/>
    <w:rsid w:val="009330A4"/>
    <w:rsid w:val="00934127"/>
    <w:rsid w:val="00934170"/>
    <w:rsid w:val="00934537"/>
    <w:rsid w:val="00935122"/>
    <w:rsid w:val="00935935"/>
    <w:rsid w:val="00936575"/>
    <w:rsid w:val="00936C6C"/>
    <w:rsid w:val="00937076"/>
    <w:rsid w:val="00937C5B"/>
    <w:rsid w:val="00937C9A"/>
    <w:rsid w:val="009405F4"/>
    <w:rsid w:val="009406F4"/>
    <w:rsid w:val="00940742"/>
    <w:rsid w:val="0094087A"/>
    <w:rsid w:val="00941977"/>
    <w:rsid w:val="00941EEE"/>
    <w:rsid w:val="00941EFD"/>
    <w:rsid w:val="009423C8"/>
    <w:rsid w:val="00942CD9"/>
    <w:rsid w:val="00943F83"/>
    <w:rsid w:val="0094477B"/>
    <w:rsid w:val="00944FB7"/>
    <w:rsid w:val="009452E5"/>
    <w:rsid w:val="009455C0"/>
    <w:rsid w:val="009458CA"/>
    <w:rsid w:val="00945A30"/>
    <w:rsid w:val="00946216"/>
    <w:rsid w:val="00947D09"/>
    <w:rsid w:val="0095088A"/>
    <w:rsid w:val="00950CBA"/>
    <w:rsid w:val="00950CD2"/>
    <w:rsid w:val="009510F6"/>
    <w:rsid w:val="009521E2"/>
    <w:rsid w:val="00952CCF"/>
    <w:rsid w:val="009538E1"/>
    <w:rsid w:val="00953A5C"/>
    <w:rsid w:val="0095497B"/>
    <w:rsid w:val="009549C1"/>
    <w:rsid w:val="0095595C"/>
    <w:rsid w:val="00956748"/>
    <w:rsid w:val="00957297"/>
    <w:rsid w:val="0095736A"/>
    <w:rsid w:val="009578ED"/>
    <w:rsid w:val="00957BA4"/>
    <w:rsid w:val="0096044A"/>
    <w:rsid w:val="0096045E"/>
    <w:rsid w:val="0096050E"/>
    <w:rsid w:val="00960D71"/>
    <w:rsid w:val="009625D8"/>
    <w:rsid w:val="00963278"/>
    <w:rsid w:val="0096346D"/>
    <w:rsid w:val="00964220"/>
    <w:rsid w:val="00964AE6"/>
    <w:rsid w:val="00964DDA"/>
    <w:rsid w:val="0096595A"/>
    <w:rsid w:val="00966088"/>
    <w:rsid w:val="0096608D"/>
    <w:rsid w:val="00966DF5"/>
    <w:rsid w:val="00966E1F"/>
    <w:rsid w:val="0096744A"/>
    <w:rsid w:val="0096765D"/>
    <w:rsid w:val="00967780"/>
    <w:rsid w:val="009678B5"/>
    <w:rsid w:val="00967CD4"/>
    <w:rsid w:val="00970084"/>
    <w:rsid w:val="009706D6"/>
    <w:rsid w:val="00970C15"/>
    <w:rsid w:val="00970EAB"/>
    <w:rsid w:val="00972F47"/>
    <w:rsid w:val="009732B9"/>
    <w:rsid w:val="00974CAB"/>
    <w:rsid w:val="009759F4"/>
    <w:rsid w:val="00976281"/>
    <w:rsid w:val="00976748"/>
    <w:rsid w:val="00977055"/>
    <w:rsid w:val="00977168"/>
    <w:rsid w:val="00977727"/>
    <w:rsid w:val="0098023B"/>
    <w:rsid w:val="00980507"/>
    <w:rsid w:val="00980606"/>
    <w:rsid w:val="00980779"/>
    <w:rsid w:val="009809A7"/>
    <w:rsid w:val="00981703"/>
    <w:rsid w:val="00981EAD"/>
    <w:rsid w:val="00982550"/>
    <w:rsid w:val="00982B0E"/>
    <w:rsid w:val="00982D95"/>
    <w:rsid w:val="00984363"/>
    <w:rsid w:val="00984FB1"/>
    <w:rsid w:val="00985046"/>
    <w:rsid w:val="009850B3"/>
    <w:rsid w:val="00985973"/>
    <w:rsid w:val="00986086"/>
    <w:rsid w:val="00986CDB"/>
    <w:rsid w:val="0098740D"/>
    <w:rsid w:val="009874DA"/>
    <w:rsid w:val="00987504"/>
    <w:rsid w:val="00987968"/>
    <w:rsid w:val="00987C21"/>
    <w:rsid w:val="00990443"/>
    <w:rsid w:val="009907F0"/>
    <w:rsid w:val="00990B66"/>
    <w:rsid w:val="00991327"/>
    <w:rsid w:val="00991D53"/>
    <w:rsid w:val="009921DB"/>
    <w:rsid w:val="00993E98"/>
    <w:rsid w:val="00994119"/>
    <w:rsid w:val="00994211"/>
    <w:rsid w:val="00997BF0"/>
    <w:rsid w:val="009A066F"/>
    <w:rsid w:val="009A0862"/>
    <w:rsid w:val="009A0AF9"/>
    <w:rsid w:val="009A101E"/>
    <w:rsid w:val="009A13A8"/>
    <w:rsid w:val="009A1A80"/>
    <w:rsid w:val="009A1EF8"/>
    <w:rsid w:val="009A28AC"/>
    <w:rsid w:val="009A3390"/>
    <w:rsid w:val="009A4CF4"/>
    <w:rsid w:val="009A4EEA"/>
    <w:rsid w:val="009A4F25"/>
    <w:rsid w:val="009A5A3D"/>
    <w:rsid w:val="009A70AD"/>
    <w:rsid w:val="009A7DD0"/>
    <w:rsid w:val="009B0573"/>
    <w:rsid w:val="009B135C"/>
    <w:rsid w:val="009B1763"/>
    <w:rsid w:val="009B18EB"/>
    <w:rsid w:val="009B1C64"/>
    <w:rsid w:val="009B2784"/>
    <w:rsid w:val="009B27D0"/>
    <w:rsid w:val="009B2C37"/>
    <w:rsid w:val="009B2DAA"/>
    <w:rsid w:val="009B3966"/>
    <w:rsid w:val="009B407E"/>
    <w:rsid w:val="009B4313"/>
    <w:rsid w:val="009B5FE6"/>
    <w:rsid w:val="009B6300"/>
    <w:rsid w:val="009B6813"/>
    <w:rsid w:val="009B688D"/>
    <w:rsid w:val="009B69DA"/>
    <w:rsid w:val="009B6FD3"/>
    <w:rsid w:val="009B7593"/>
    <w:rsid w:val="009B7A74"/>
    <w:rsid w:val="009C10C7"/>
    <w:rsid w:val="009C28D6"/>
    <w:rsid w:val="009C3D36"/>
    <w:rsid w:val="009C4F63"/>
    <w:rsid w:val="009C54C9"/>
    <w:rsid w:val="009C6044"/>
    <w:rsid w:val="009C6516"/>
    <w:rsid w:val="009C764D"/>
    <w:rsid w:val="009C7EEB"/>
    <w:rsid w:val="009C7FC8"/>
    <w:rsid w:val="009D101E"/>
    <w:rsid w:val="009D146C"/>
    <w:rsid w:val="009D1998"/>
    <w:rsid w:val="009D1E96"/>
    <w:rsid w:val="009D2089"/>
    <w:rsid w:val="009D2273"/>
    <w:rsid w:val="009D280A"/>
    <w:rsid w:val="009D3DF1"/>
    <w:rsid w:val="009D3E9D"/>
    <w:rsid w:val="009D42A5"/>
    <w:rsid w:val="009D4BB3"/>
    <w:rsid w:val="009D5363"/>
    <w:rsid w:val="009D540C"/>
    <w:rsid w:val="009D61E6"/>
    <w:rsid w:val="009D6640"/>
    <w:rsid w:val="009D6B5A"/>
    <w:rsid w:val="009D6C7B"/>
    <w:rsid w:val="009D6CDD"/>
    <w:rsid w:val="009D6D8B"/>
    <w:rsid w:val="009D786C"/>
    <w:rsid w:val="009E02AF"/>
    <w:rsid w:val="009E04EE"/>
    <w:rsid w:val="009E0D4B"/>
    <w:rsid w:val="009E1082"/>
    <w:rsid w:val="009E10A4"/>
    <w:rsid w:val="009E1926"/>
    <w:rsid w:val="009E1A69"/>
    <w:rsid w:val="009E338E"/>
    <w:rsid w:val="009E36F8"/>
    <w:rsid w:val="009E3701"/>
    <w:rsid w:val="009E3FFA"/>
    <w:rsid w:val="009E40E4"/>
    <w:rsid w:val="009E4291"/>
    <w:rsid w:val="009E4A44"/>
    <w:rsid w:val="009E5C0A"/>
    <w:rsid w:val="009E5C1D"/>
    <w:rsid w:val="009E62FD"/>
    <w:rsid w:val="009E7167"/>
    <w:rsid w:val="009E761E"/>
    <w:rsid w:val="009E7FA5"/>
    <w:rsid w:val="009F0335"/>
    <w:rsid w:val="009F0FF7"/>
    <w:rsid w:val="009F19CE"/>
    <w:rsid w:val="009F2087"/>
    <w:rsid w:val="009F25D9"/>
    <w:rsid w:val="009F26A3"/>
    <w:rsid w:val="009F3332"/>
    <w:rsid w:val="009F3F39"/>
    <w:rsid w:val="009F47E9"/>
    <w:rsid w:val="009F4DA7"/>
    <w:rsid w:val="009F597F"/>
    <w:rsid w:val="009F639C"/>
    <w:rsid w:val="009F65E4"/>
    <w:rsid w:val="009F68E8"/>
    <w:rsid w:val="009F6B19"/>
    <w:rsid w:val="009F6C9B"/>
    <w:rsid w:val="009F73F5"/>
    <w:rsid w:val="009F7450"/>
    <w:rsid w:val="009F7E75"/>
    <w:rsid w:val="00A008FA"/>
    <w:rsid w:val="00A0152A"/>
    <w:rsid w:val="00A016F4"/>
    <w:rsid w:val="00A01F0C"/>
    <w:rsid w:val="00A026B1"/>
    <w:rsid w:val="00A02A26"/>
    <w:rsid w:val="00A02CC8"/>
    <w:rsid w:val="00A042B0"/>
    <w:rsid w:val="00A04B7B"/>
    <w:rsid w:val="00A04F1E"/>
    <w:rsid w:val="00A0501C"/>
    <w:rsid w:val="00A051B2"/>
    <w:rsid w:val="00A05EFD"/>
    <w:rsid w:val="00A06897"/>
    <w:rsid w:val="00A06AC5"/>
    <w:rsid w:val="00A0792B"/>
    <w:rsid w:val="00A07DCA"/>
    <w:rsid w:val="00A07EBA"/>
    <w:rsid w:val="00A1036E"/>
    <w:rsid w:val="00A107E5"/>
    <w:rsid w:val="00A10C7C"/>
    <w:rsid w:val="00A118E1"/>
    <w:rsid w:val="00A11923"/>
    <w:rsid w:val="00A1212C"/>
    <w:rsid w:val="00A122C8"/>
    <w:rsid w:val="00A12598"/>
    <w:rsid w:val="00A12AE0"/>
    <w:rsid w:val="00A1304A"/>
    <w:rsid w:val="00A13128"/>
    <w:rsid w:val="00A13B61"/>
    <w:rsid w:val="00A146D9"/>
    <w:rsid w:val="00A1509F"/>
    <w:rsid w:val="00A15195"/>
    <w:rsid w:val="00A1582E"/>
    <w:rsid w:val="00A15FCB"/>
    <w:rsid w:val="00A16F45"/>
    <w:rsid w:val="00A17074"/>
    <w:rsid w:val="00A17145"/>
    <w:rsid w:val="00A201E4"/>
    <w:rsid w:val="00A20C32"/>
    <w:rsid w:val="00A2180D"/>
    <w:rsid w:val="00A21E3B"/>
    <w:rsid w:val="00A22A00"/>
    <w:rsid w:val="00A23511"/>
    <w:rsid w:val="00A24D78"/>
    <w:rsid w:val="00A27099"/>
    <w:rsid w:val="00A271AE"/>
    <w:rsid w:val="00A27316"/>
    <w:rsid w:val="00A27683"/>
    <w:rsid w:val="00A27ACA"/>
    <w:rsid w:val="00A302E5"/>
    <w:rsid w:val="00A30350"/>
    <w:rsid w:val="00A3193E"/>
    <w:rsid w:val="00A3234A"/>
    <w:rsid w:val="00A329E4"/>
    <w:rsid w:val="00A3398D"/>
    <w:rsid w:val="00A34612"/>
    <w:rsid w:val="00A3496C"/>
    <w:rsid w:val="00A34A56"/>
    <w:rsid w:val="00A35563"/>
    <w:rsid w:val="00A356A4"/>
    <w:rsid w:val="00A35A65"/>
    <w:rsid w:val="00A35D44"/>
    <w:rsid w:val="00A3669B"/>
    <w:rsid w:val="00A36B39"/>
    <w:rsid w:val="00A37283"/>
    <w:rsid w:val="00A40517"/>
    <w:rsid w:val="00A40F21"/>
    <w:rsid w:val="00A41028"/>
    <w:rsid w:val="00A41080"/>
    <w:rsid w:val="00A412A9"/>
    <w:rsid w:val="00A415E8"/>
    <w:rsid w:val="00A42009"/>
    <w:rsid w:val="00A4279C"/>
    <w:rsid w:val="00A427D7"/>
    <w:rsid w:val="00A42F62"/>
    <w:rsid w:val="00A42FDB"/>
    <w:rsid w:val="00A43008"/>
    <w:rsid w:val="00A440EC"/>
    <w:rsid w:val="00A44DC4"/>
    <w:rsid w:val="00A45059"/>
    <w:rsid w:val="00A45205"/>
    <w:rsid w:val="00A4542E"/>
    <w:rsid w:val="00A45979"/>
    <w:rsid w:val="00A45D5E"/>
    <w:rsid w:val="00A45EBA"/>
    <w:rsid w:val="00A45FF2"/>
    <w:rsid w:val="00A4617B"/>
    <w:rsid w:val="00A466CD"/>
    <w:rsid w:val="00A47352"/>
    <w:rsid w:val="00A47C57"/>
    <w:rsid w:val="00A51483"/>
    <w:rsid w:val="00A51550"/>
    <w:rsid w:val="00A518F9"/>
    <w:rsid w:val="00A51B0F"/>
    <w:rsid w:val="00A51C5A"/>
    <w:rsid w:val="00A51CC8"/>
    <w:rsid w:val="00A51F50"/>
    <w:rsid w:val="00A52395"/>
    <w:rsid w:val="00A539D7"/>
    <w:rsid w:val="00A53C62"/>
    <w:rsid w:val="00A54095"/>
    <w:rsid w:val="00A54361"/>
    <w:rsid w:val="00A54B4C"/>
    <w:rsid w:val="00A54F53"/>
    <w:rsid w:val="00A55182"/>
    <w:rsid w:val="00A5538D"/>
    <w:rsid w:val="00A55896"/>
    <w:rsid w:val="00A55D8F"/>
    <w:rsid w:val="00A56FB7"/>
    <w:rsid w:val="00A57077"/>
    <w:rsid w:val="00A57B37"/>
    <w:rsid w:val="00A57B8D"/>
    <w:rsid w:val="00A60D3B"/>
    <w:rsid w:val="00A61135"/>
    <w:rsid w:val="00A614AE"/>
    <w:rsid w:val="00A62C5C"/>
    <w:rsid w:val="00A62D45"/>
    <w:rsid w:val="00A6333C"/>
    <w:rsid w:val="00A6458A"/>
    <w:rsid w:val="00A6468A"/>
    <w:rsid w:val="00A65D7C"/>
    <w:rsid w:val="00A664D7"/>
    <w:rsid w:val="00A664E4"/>
    <w:rsid w:val="00A669F1"/>
    <w:rsid w:val="00A66CCE"/>
    <w:rsid w:val="00A67C2F"/>
    <w:rsid w:val="00A70688"/>
    <w:rsid w:val="00A70AD0"/>
    <w:rsid w:val="00A710C1"/>
    <w:rsid w:val="00A71F70"/>
    <w:rsid w:val="00A71FB9"/>
    <w:rsid w:val="00A725EC"/>
    <w:rsid w:val="00A72DCB"/>
    <w:rsid w:val="00A73A9A"/>
    <w:rsid w:val="00A73BC6"/>
    <w:rsid w:val="00A73DC4"/>
    <w:rsid w:val="00A73F92"/>
    <w:rsid w:val="00A743CC"/>
    <w:rsid w:val="00A744D0"/>
    <w:rsid w:val="00A751E5"/>
    <w:rsid w:val="00A75AF1"/>
    <w:rsid w:val="00A760F8"/>
    <w:rsid w:val="00A76AE1"/>
    <w:rsid w:val="00A76E52"/>
    <w:rsid w:val="00A776C0"/>
    <w:rsid w:val="00A8080B"/>
    <w:rsid w:val="00A811BE"/>
    <w:rsid w:val="00A82AAA"/>
    <w:rsid w:val="00A82DA0"/>
    <w:rsid w:val="00A82F5D"/>
    <w:rsid w:val="00A838D0"/>
    <w:rsid w:val="00A840F1"/>
    <w:rsid w:val="00A8506F"/>
    <w:rsid w:val="00A8590A"/>
    <w:rsid w:val="00A86F86"/>
    <w:rsid w:val="00A878C8"/>
    <w:rsid w:val="00A900BB"/>
    <w:rsid w:val="00A92265"/>
    <w:rsid w:val="00A92B3E"/>
    <w:rsid w:val="00A92C27"/>
    <w:rsid w:val="00A934AC"/>
    <w:rsid w:val="00A93F1D"/>
    <w:rsid w:val="00A93F7A"/>
    <w:rsid w:val="00A94371"/>
    <w:rsid w:val="00A946AB"/>
    <w:rsid w:val="00A947E7"/>
    <w:rsid w:val="00A97208"/>
    <w:rsid w:val="00A97AC5"/>
    <w:rsid w:val="00AA0338"/>
    <w:rsid w:val="00AA17CC"/>
    <w:rsid w:val="00AA2048"/>
    <w:rsid w:val="00AA2129"/>
    <w:rsid w:val="00AA2526"/>
    <w:rsid w:val="00AA2B72"/>
    <w:rsid w:val="00AA3125"/>
    <w:rsid w:val="00AA3378"/>
    <w:rsid w:val="00AA46D6"/>
    <w:rsid w:val="00AA504D"/>
    <w:rsid w:val="00AA5CE2"/>
    <w:rsid w:val="00AA72AE"/>
    <w:rsid w:val="00AA73D3"/>
    <w:rsid w:val="00AA778A"/>
    <w:rsid w:val="00AB2293"/>
    <w:rsid w:val="00AB24BA"/>
    <w:rsid w:val="00AB2544"/>
    <w:rsid w:val="00AB25E8"/>
    <w:rsid w:val="00AB36A9"/>
    <w:rsid w:val="00AB3F5B"/>
    <w:rsid w:val="00AB4C64"/>
    <w:rsid w:val="00AB4E2A"/>
    <w:rsid w:val="00AB5284"/>
    <w:rsid w:val="00AB5510"/>
    <w:rsid w:val="00AB590A"/>
    <w:rsid w:val="00AB5976"/>
    <w:rsid w:val="00AB6746"/>
    <w:rsid w:val="00AB6F90"/>
    <w:rsid w:val="00AB6FCA"/>
    <w:rsid w:val="00AB7BF3"/>
    <w:rsid w:val="00AC0043"/>
    <w:rsid w:val="00AC0746"/>
    <w:rsid w:val="00AC14BA"/>
    <w:rsid w:val="00AC1ED0"/>
    <w:rsid w:val="00AC2456"/>
    <w:rsid w:val="00AC2CA3"/>
    <w:rsid w:val="00AC3452"/>
    <w:rsid w:val="00AC39BB"/>
    <w:rsid w:val="00AC4F1F"/>
    <w:rsid w:val="00AC54BF"/>
    <w:rsid w:val="00AC5C7F"/>
    <w:rsid w:val="00AC7E27"/>
    <w:rsid w:val="00AD05D8"/>
    <w:rsid w:val="00AD1F36"/>
    <w:rsid w:val="00AD2017"/>
    <w:rsid w:val="00AD251D"/>
    <w:rsid w:val="00AD256E"/>
    <w:rsid w:val="00AD2DDD"/>
    <w:rsid w:val="00AD2E44"/>
    <w:rsid w:val="00AD30B0"/>
    <w:rsid w:val="00AD3650"/>
    <w:rsid w:val="00AD49CA"/>
    <w:rsid w:val="00AD6F98"/>
    <w:rsid w:val="00AD721D"/>
    <w:rsid w:val="00AD73BD"/>
    <w:rsid w:val="00AD7970"/>
    <w:rsid w:val="00AD7E3F"/>
    <w:rsid w:val="00AE043B"/>
    <w:rsid w:val="00AE0BC1"/>
    <w:rsid w:val="00AE0E48"/>
    <w:rsid w:val="00AE170A"/>
    <w:rsid w:val="00AE1B94"/>
    <w:rsid w:val="00AE1B98"/>
    <w:rsid w:val="00AE2405"/>
    <w:rsid w:val="00AE4F96"/>
    <w:rsid w:val="00AE5376"/>
    <w:rsid w:val="00AE5753"/>
    <w:rsid w:val="00AE5CA1"/>
    <w:rsid w:val="00AE7650"/>
    <w:rsid w:val="00AE7874"/>
    <w:rsid w:val="00AE7BDD"/>
    <w:rsid w:val="00AE7C85"/>
    <w:rsid w:val="00AE7EBD"/>
    <w:rsid w:val="00AE7F31"/>
    <w:rsid w:val="00AF0871"/>
    <w:rsid w:val="00AF2104"/>
    <w:rsid w:val="00AF2B28"/>
    <w:rsid w:val="00AF2D69"/>
    <w:rsid w:val="00AF3468"/>
    <w:rsid w:val="00AF3839"/>
    <w:rsid w:val="00AF4A01"/>
    <w:rsid w:val="00AF4A2B"/>
    <w:rsid w:val="00AF514A"/>
    <w:rsid w:val="00AF51B6"/>
    <w:rsid w:val="00AF54C7"/>
    <w:rsid w:val="00AF5539"/>
    <w:rsid w:val="00AF5DA9"/>
    <w:rsid w:val="00AF6AA3"/>
    <w:rsid w:val="00AF6AEC"/>
    <w:rsid w:val="00AF6BB9"/>
    <w:rsid w:val="00AF7653"/>
    <w:rsid w:val="00B002C7"/>
    <w:rsid w:val="00B00C97"/>
    <w:rsid w:val="00B01534"/>
    <w:rsid w:val="00B01CD6"/>
    <w:rsid w:val="00B01DD4"/>
    <w:rsid w:val="00B027F5"/>
    <w:rsid w:val="00B02985"/>
    <w:rsid w:val="00B02F56"/>
    <w:rsid w:val="00B03300"/>
    <w:rsid w:val="00B0373A"/>
    <w:rsid w:val="00B03D65"/>
    <w:rsid w:val="00B04B32"/>
    <w:rsid w:val="00B04C2E"/>
    <w:rsid w:val="00B05554"/>
    <w:rsid w:val="00B05D9C"/>
    <w:rsid w:val="00B060D0"/>
    <w:rsid w:val="00B10110"/>
    <w:rsid w:val="00B10429"/>
    <w:rsid w:val="00B10DE2"/>
    <w:rsid w:val="00B1163C"/>
    <w:rsid w:val="00B11F42"/>
    <w:rsid w:val="00B12595"/>
    <w:rsid w:val="00B128ED"/>
    <w:rsid w:val="00B12E59"/>
    <w:rsid w:val="00B12EA5"/>
    <w:rsid w:val="00B13153"/>
    <w:rsid w:val="00B13203"/>
    <w:rsid w:val="00B13897"/>
    <w:rsid w:val="00B139C7"/>
    <w:rsid w:val="00B14056"/>
    <w:rsid w:val="00B149A9"/>
    <w:rsid w:val="00B14DD0"/>
    <w:rsid w:val="00B14FB3"/>
    <w:rsid w:val="00B15C37"/>
    <w:rsid w:val="00B160D0"/>
    <w:rsid w:val="00B16CE3"/>
    <w:rsid w:val="00B176D7"/>
    <w:rsid w:val="00B17AC7"/>
    <w:rsid w:val="00B17D26"/>
    <w:rsid w:val="00B205B8"/>
    <w:rsid w:val="00B20C6E"/>
    <w:rsid w:val="00B2127A"/>
    <w:rsid w:val="00B21BAD"/>
    <w:rsid w:val="00B225E5"/>
    <w:rsid w:val="00B22A87"/>
    <w:rsid w:val="00B22B93"/>
    <w:rsid w:val="00B23C19"/>
    <w:rsid w:val="00B23C67"/>
    <w:rsid w:val="00B23FA8"/>
    <w:rsid w:val="00B24D72"/>
    <w:rsid w:val="00B25119"/>
    <w:rsid w:val="00B268E5"/>
    <w:rsid w:val="00B26AFE"/>
    <w:rsid w:val="00B2737D"/>
    <w:rsid w:val="00B27713"/>
    <w:rsid w:val="00B30CA5"/>
    <w:rsid w:val="00B30E50"/>
    <w:rsid w:val="00B312D4"/>
    <w:rsid w:val="00B3131E"/>
    <w:rsid w:val="00B33307"/>
    <w:rsid w:val="00B344D9"/>
    <w:rsid w:val="00B34C39"/>
    <w:rsid w:val="00B37BD4"/>
    <w:rsid w:val="00B37E0E"/>
    <w:rsid w:val="00B404C6"/>
    <w:rsid w:val="00B4101E"/>
    <w:rsid w:val="00B41A8B"/>
    <w:rsid w:val="00B42F7D"/>
    <w:rsid w:val="00B436D8"/>
    <w:rsid w:val="00B4418C"/>
    <w:rsid w:val="00B445AF"/>
    <w:rsid w:val="00B44CAC"/>
    <w:rsid w:val="00B4514C"/>
    <w:rsid w:val="00B4551D"/>
    <w:rsid w:val="00B45805"/>
    <w:rsid w:val="00B45D10"/>
    <w:rsid w:val="00B45E80"/>
    <w:rsid w:val="00B472CB"/>
    <w:rsid w:val="00B4752C"/>
    <w:rsid w:val="00B47AC9"/>
    <w:rsid w:val="00B50F3B"/>
    <w:rsid w:val="00B51EBF"/>
    <w:rsid w:val="00B5296B"/>
    <w:rsid w:val="00B529EC"/>
    <w:rsid w:val="00B53011"/>
    <w:rsid w:val="00B533A2"/>
    <w:rsid w:val="00B53E51"/>
    <w:rsid w:val="00B542C1"/>
    <w:rsid w:val="00B54919"/>
    <w:rsid w:val="00B55344"/>
    <w:rsid w:val="00B55872"/>
    <w:rsid w:val="00B55AC1"/>
    <w:rsid w:val="00B55F60"/>
    <w:rsid w:val="00B561AC"/>
    <w:rsid w:val="00B567AB"/>
    <w:rsid w:val="00B576E3"/>
    <w:rsid w:val="00B57763"/>
    <w:rsid w:val="00B57B15"/>
    <w:rsid w:val="00B61188"/>
    <w:rsid w:val="00B625F0"/>
    <w:rsid w:val="00B627E5"/>
    <w:rsid w:val="00B62C10"/>
    <w:rsid w:val="00B62E97"/>
    <w:rsid w:val="00B62FEB"/>
    <w:rsid w:val="00B630AA"/>
    <w:rsid w:val="00B631DB"/>
    <w:rsid w:val="00B636D2"/>
    <w:rsid w:val="00B63D6B"/>
    <w:rsid w:val="00B64AE6"/>
    <w:rsid w:val="00B650E9"/>
    <w:rsid w:val="00B65171"/>
    <w:rsid w:val="00B656B9"/>
    <w:rsid w:val="00B65CDD"/>
    <w:rsid w:val="00B65F41"/>
    <w:rsid w:val="00B667DF"/>
    <w:rsid w:val="00B66B55"/>
    <w:rsid w:val="00B67104"/>
    <w:rsid w:val="00B674E5"/>
    <w:rsid w:val="00B677B4"/>
    <w:rsid w:val="00B67DC5"/>
    <w:rsid w:val="00B700E1"/>
    <w:rsid w:val="00B7047C"/>
    <w:rsid w:val="00B7052F"/>
    <w:rsid w:val="00B7299B"/>
    <w:rsid w:val="00B73909"/>
    <w:rsid w:val="00B77C9D"/>
    <w:rsid w:val="00B81266"/>
    <w:rsid w:val="00B81758"/>
    <w:rsid w:val="00B8182A"/>
    <w:rsid w:val="00B81A53"/>
    <w:rsid w:val="00B826BE"/>
    <w:rsid w:val="00B83A0F"/>
    <w:rsid w:val="00B83DD4"/>
    <w:rsid w:val="00B84A13"/>
    <w:rsid w:val="00B84D97"/>
    <w:rsid w:val="00B850FB"/>
    <w:rsid w:val="00B8537F"/>
    <w:rsid w:val="00B85577"/>
    <w:rsid w:val="00B85A25"/>
    <w:rsid w:val="00B86DF6"/>
    <w:rsid w:val="00B86FF9"/>
    <w:rsid w:val="00B91129"/>
    <w:rsid w:val="00B911EC"/>
    <w:rsid w:val="00B914AA"/>
    <w:rsid w:val="00B91773"/>
    <w:rsid w:val="00B91CFA"/>
    <w:rsid w:val="00B91D4B"/>
    <w:rsid w:val="00B92254"/>
    <w:rsid w:val="00B9252E"/>
    <w:rsid w:val="00B926EB"/>
    <w:rsid w:val="00B9334A"/>
    <w:rsid w:val="00B93E8C"/>
    <w:rsid w:val="00B94ACA"/>
    <w:rsid w:val="00B95A96"/>
    <w:rsid w:val="00BA058D"/>
    <w:rsid w:val="00BA1708"/>
    <w:rsid w:val="00BA1B71"/>
    <w:rsid w:val="00BA2139"/>
    <w:rsid w:val="00BA2905"/>
    <w:rsid w:val="00BA2C73"/>
    <w:rsid w:val="00BA37AA"/>
    <w:rsid w:val="00BA3D5E"/>
    <w:rsid w:val="00BA3FC4"/>
    <w:rsid w:val="00BA4345"/>
    <w:rsid w:val="00BA4F0A"/>
    <w:rsid w:val="00BA6067"/>
    <w:rsid w:val="00BA642B"/>
    <w:rsid w:val="00BA7B85"/>
    <w:rsid w:val="00BB02FC"/>
    <w:rsid w:val="00BB0701"/>
    <w:rsid w:val="00BB0CC6"/>
    <w:rsid w:val="00BB0EA2"/>
    <w:rsid w:val="00BB14D7"/>
    <w:rsid w:val="00BB2980"/>
    <w:rsid w:val="00BB32F8"/>
    <w:rsid w:val="00BB344C"/>
    <w:rsid w:val="00BB3C1B"/>
    <w:rsid w:val="00BB531F"/>
    <w:rsid w:val="00BB56A7"/>
    <w:rsid w:val="00BB6300"/>
    <w:rsid w:val="00BB6786"/>
    <w:rsid w:val="00BB7684"/>
    <w:rsid w:val="00BB7C50"/>
    <w:rsid w:val="00BC0387"/>
    <w:rsid w:val="00BC154C"/>
    <w:rsid w:val="00BC1B14"/>
    <w:rsid w:val="00BC1ED6"/>
    <w:rsid w:val="00BC2A2B"/>
    <w:rsid w:val="00BC2BA4"/>
    <w:rsid w:val="00BC2D21"/>
    <w:rsid w:val="00BC395D"/>
    <w:rsid w:val="00BC3DCF"/>
    <w:rsid w:val="00BC470C"/>
    <w:rsid w:val="00BC5BB5"/>
    <w:rsid w:val="00BC5DA8"/>
    <w:rsid w:val="00BC6209"/>
    <w:rsid w:val="00BC6EFA"/>
    <w:rsid w:val="00BC7182"/>
    <w:rsid w:val="00BD09DE"/>
    <w:rsid w:val="00BD102B"/>
    <w:rsid w:val="00BD1247"/>
    <w:rsid w:val="00BD2424"/>
    <w:rsid w:val="00BD3025"/>
    <w:rsid w:val="00BD315B"/>
    <w:rsid w:val="00BD476D"/>
    <w:rsid w:val="00BD4C5F"/>
    <w:rsid w:val="00BD51BE"/>
    <w:rsid w:val="00BD59C1"/>
    <w:rsid w:val="00BD5B12"/>
    <w:rsid w:val="00BD6382"/>
    <w:rsid w:val="00BD67D8"/>
    <w:rsid w:val="00BE0449"/>
    <w:rsid w:val="00BE0945"/>
    <w:rsid w:val="00BE14FB"/>
    <w:rsid w:val="00BE15AA"/>
    <w:rsid w:val="00BE15D6"/>
    <w:rsid w:val="00BE1824"/>
    <w:rsid w:val="00BE19B1"/>
    <w:rsid w:val="00BE30A7"/>
    <w:rsid w:val="00BE344B"/>
    <w:rsid w:val="00BE3AF9"/>
    <w:rsid w:val="00BE464A"/>
    <w:rsid w:val="00BE4A51"/>
    <w:rsid w:val="00BE52D3"/>
    <w:rsid w:val="00BE566A"/>
    <w:rsid w:val="00BE58FC"/>
    <w:rsid w:val="00BE5A83"/>
    <w:rsid w:val="00BE5D56"/>
    <w:rsid w:val="00BE6AF0"/>
    <w:rsid w:val="00BE6EBE"/>
    <w:rsid w:val="00BF0D3C"/>
    <w:rsid w:val="00BF10FF"/>
    <w:rsid w:val="00BF1574"/>
    <w:rsid w:val="00BF17C2"/>
    <w:rsid w:val="00BF2131"/>
    <w:rsid w:val="00BF2EFA"/>
    <w:rsid w:val="00BF3A27"/>
    <w:rsid w:val="00BF437E"/>
    <w:rsid w:val="00BF59A7"/>
    <w:rsid w:val="00BF5C03"/>
    <w:rsid w:val="00BF61B6"/>
    <w:rsid w:val="00BF7D7E"/>
    <w:rsid w:val="00C00490"/>
    <w:rsid w:val="00C013A0"/>
    <w:rsid w:val="00C02EAF"/>
    <w:rsid w:val="00C05186"/>
    <w:rsid w:val="00C05253"/>
    <w:rsid w:val="00C055DE"/>
    <w:rsid w:val="00C05D34"/>
    <w:rsid w:val="00C05EDD"/>
    <w:rsid w:val="00C067BB"/>
    <w:rsid w:val="00C06DE6"/>
    <w:rsid w:val="00C07EFB"/>
    <w:rsid w:val="00C10623"/>
    <w:rsid w:val="00C11540"/>
    <w:rsid w:val="00C1169A"/>
    <w:rsid w:val="00C11742"/>
    <w:rsid w:val="00C12962"/>
    <w:rsid w:val="00C12B55"/>
    <w:rsid w:val="00C12D19"/>
    <w:rsid w:val="00C1308C"/>
    <w:rsid w:val="00C13C67"/>
    <w:rsid w:val="00C13E4D"/>
    <w:rsid w:val="00C144F3"/>
    <w:rsid w:val="00C146A9"/>
    <w:rsid w:val="00C14EF9"/>
    <w:rsid w:val="00C157CD"/>
    <w:rsid w:val="00C17090"/>
    <w:rsid w:val="00C20F67"/>
    <w:rsid w:val="00C216E4"/>
    <w:rsid w:val="00C2203C"/>
    <w:rsid w:val="00C22B36"/>
    <w:rsid w:val="00C231F6"/>
    <w:rsid w:val="00C23274"/>
    <w:rsid w:val="00C23EB2"/>
    <w:rsid w:val="00C244D7"/>
    <w:rsid w:val="00C25366"/>
    <w:rsid w:val="00C2594A"/>
    <w:rsid w:val="00C25DB8"/>
    <w:rsid w:val="00C262A5"/>
    <w:rsid w:val="00C26F77"/>
    <w:rsid w:val="00C30220"/>
    <w:rsid w:val="00C302FE"/>
    <w:rsid w:val="00C314C5"/>
    <w:rsid w:val="00C3163C"/>
    <w:rsid w:val="00C3171C"/>
    <w:rsid w:val="00C31CD7"/>
    <w:rsid w:val="00C32EFA"/>
    <w:rsid w:val="00C35209"/>
    <w:rsid w:val="00C35AC8"/>
    <w:rsid w:val="00C36A31"/>
    <w:rsid w:val="00C36F51"/>
    <w:rsid w:val="00C377DA"/>
    <w:rsid w:val="00C37C2B"/>
    <w:rsid w:val="00C40328"/>
    <w:rsid w:val="00C405FA"/>
    <w:rsid w:val="00C41232"/>
    <w:rsid w:val="00C41AF0"/>
    <w:rsid w:val="00C429F1"/>
    <w:rsid w:val="00C42A2A"/>
    <w:rsid w:val="00C42E8C"/>
    <w:rsid w:val="00C43543"/>
    <w:rsid w:val="00C4454F"/>
    <w:rsid w:val="00C445EB"/>
    <w:rsid w:val="00C44616"/>
    <w:rsid w:val="00C44750"/>
    <w:rsid w:val="00C44F35"/>
    <w:rsid w:val="00C45EAD"/>
    <w:rsid w:val="00C461BE"/>
    <w:rsid w:val="00C471A9"/>
    <w:rsid w:val="00C47748"/>
    <w:rsid w:val="00C47E33"/>
    <w:rsid w:val="00C508E7"/>
    <w:rsid w:val="00C509B6"/>
    <w:rsid w:val="00C50B1D"/>
    <w:rsid w:val="00C51E21"/>
    <w:rsid w:val="00C51EFC"/>
    <w:rsid w:val="00C5231D"/>
    <w:rsid w:val="00C5244A"/>
    <w:rsid w:val="00C5281B"/>
    <w:rsid w:val="00C52BBF"/>
    <w:rsid w:val="00C52E44"/>
    <w:rsid w:val="00C53611"/>
    <w:rsid w:val="00C5466B"/>
    <w:rsid w:val="00C55AF0"/>
    <w:rsid w:val="00C5702F"/>
    <w:rsid w:val="00C604A2"/>
    <w:rsid w:val="00C61A4A"/>
    <w:rsid w:val="00C61F5D"/>
    <w:rsid w:val="00C6241E"/>
    <w:rsid w:val="00C63904"/>
    <w:rsid w:val="00C64056"/>
    <w:rsid w:val="00C646F3"/>
    <w:rsid w:val="00C64840"/>
    <w:rsid w:val="00C6544C"/>
    <w:rsid w:val="00C657EA"/>
    <w:rsid w:val="00C658E5"/>
    <w:rsid w:val="00C65914"/>
    <w:rsid w:val="00C66325"/>
    <w:rsid w:val="00C670A3"/>
    <w:rsid w:val="00C70051"/>
    <w:rsid w:val="00C70212"/>
    <w:rsid w:val="00C7034C"/>
    <w:rsid w:val="00C721E7"/>
    <w:rsid w:val="00C7298C"/>
    <w:rsid w:val="00C73728"/>
    <w:rsid w:val="00C7502B"/>
    <w:rsid w:val="00C7595F"/>
    <w:rsid w:val="00C75F8E"/>
    <w:rsid w:val="00C7603A"/>
    <w:rsid w:val="00C76142"/>
    <w:rsid w:val="00C76314"/>
    <w:rsid w:val="00C779C4"/>
    <w:rsid w:val="00C77CA0"/>
    <w:rsid w:val="00C819DC"/>
    <w:rsid w:val="00C81C0F"/>
    <w:rsid w:val="00C81D25"/>
    <w:rsid w:val="00C82EFF"/>
    <w:rsid w:val="00C839DB"/>
    <w:rsid w:val="00C83A41"/>
    <w:rsid w:val="00C8489A"/>
    <w:rsid w:val="00C84940"/>
    <w:rsid w:val="00C868FA"/>
    <w:rsid w:val="00C86D07"/>
    <w:rsid w:val="00C8712E"/>
    <w:rsid w:val="00C87148"/>
    <w:rsid w:val="00C8741A"/>
    <w:rsid w:val="00C9043C"/>
    <w:rsid w:val="00C90533"/>
    <w:rsid w:val="00C90882"/>
    <w:rsid w:val="00C909E5"/>
    <w:rsid w:val="00C90F60"/>
    <w:rsid w:val="00C91625"/>
    <w:rsid w:val="00C9164C"/>
    <w:rsid w:val="00C917E5"/>
    <w:rsid w:val="00C91CE8"/>
    <w:rsid w:val="00C91E62"/>
    <w:rsid w:val="00C92687"/>
    <w:rsid w:val="00C92833"/>
    <w:rsid w:val="00C929FE"/>
    <w:rsid w:val="00C92F22"/>
    <w:rsid w:val="00C93BB7"/>
    <w:rsid w:val="00C94541"/>
    <w:rsid w:val="00C9485D"/>
    <w:rsid w:val="00C94F46"/>
    <w:rsid w:val="00C94FA0"/>
    <w:rsid w:val="00C9552E"/>
    <w:rsid w:val="00C95C0A"/>
    <w:rsid w:val="00C95D55"/>
    <w:rsid w:val="00C96E3D"/>
    <w:rsid w:val="00CA00A0"/>
    <w:rsid w:val="00CA039B"/>
    <w:rsid w:val="00CA081E"/>
    <w:rsid w:val="00CA09F9"/>
    <w:rsid w:val="00CA0DA6"/>
    <w:rsid w:val="00CA0E20"/>
    <w:rsid w:val="00CA12E3"/>
    <w:rsid w:val="00CA145B"/>
    <w:rsid w:val="00CA16D4"/>
    <w:rsid w:val="00CA1A50"/>
    <w:rsid w:val="00CA251E"/>
    <w:rsid w:val="00CA2BA8"/>
    <w:rsid w:val="00CA3970"/>
    <w:rsid w:val="00CA3BEE"/>
    <w:rsid w:val="00CA425B"/>
    <w:rsid w:val="00CA4659"/>
    <w:rsid w:val="00CA5540"/>
    <w:rsid w:val="00CA555C"/>
    <w:rsid w:val="00CA564A"/>
    <w:rsid w:val="00CA5CA2"/>
    <w:rsid w:val="00CA5E44"/>
    <w:rsid w:val="00CA787C"/>
    <w:rsid w:val="00CA7BE5"/>
    <w:rsid w:val="00CB04E4"/>
    <w:rsid w:val="00CB1299"/>
    <w:rsid w:val="00CB1439"/>
    <w:rsid w:val="00CB17E8"/>
    <w:rsid w:val="00CB270E"/>
    <w:rsid w:val="00CB2BAF"/>
    <w:rsid w:val="00CB3D9C"/>
    <w:rsid w:val="00CB4137"/>
    <w:rsid w:val="00CB46AA"/>
    <w:rsid w:val="00CB5225"/>
    <w:rsid w:val="00CB5D44"/>
    <w:rsid w:val="00CB632E"/>
    <w:rsid w:val="00CB797F"/>
    <w:rsid w:val="00CB7A6B"/>
    <w:rsid w:val="00CB7CA6"/>
    <w:rsid w:val="00CC005D"/>
    <w:rsid w:val="00CC032E"/>
    <w:rsid w:val="00CC0B3E"/>
    <w:rsid w:val="00CC0EF7"/>
    <w:rsid w:val="00CC1B00"/>
    <w:rsid w:val="00CC1C82"/>
    <w:rsid w:val="00CC20D0"/>
    <w:rsid w:val="00CC3236"/>
    <w:rsid w:val="00CC37BA"/>
    <w:rsid w:val="00CC3BF7"/>
    <w:rsid w:val="00CC47AB"/>
    <w:rsid w:val="00CC4C3C"/>
    <w:rsid w:val="00CC5424"/>
    <w:rsid w:val="00CC5670"/>
    <w:rsid w:val="00CC7977"/>
    <w:rsid w:val="00CD0E64"/>
    <w:rsid w:val="00CD15C0"/>
    <w:rsid w:val="00CD2228"/>
    <w:rsid w:val="00CD25EA"/>
    <w:rsid w:val="00CD29C4"/>
    <w:rsid w:val="00CD2DC0"/>
    <w:rsid w:val="00CD4A47"/>
    <w:rsid w:val="00CD4C3D"/>
    <w:rsid w:val="00CD4CB1"/>
    <w:rsid w:val="00CD5750"/>
    <w:rsid w:val="00CD597C"/>
    <w:rsid w:val="00CD5BA4"/>
    <w:rsid w:val="00CD5BFB"/>
    <w:rsid w:val="00CD5D2F"/>
    <w:rsid w:val="00CD5F1A"/>
    <w:rsid w:val="00CD646D"/>
    <w:rsid w:val="00CD6B6B"/>
    <w:rsid w:val="00CD7023"/>
    <w:rsid w:val="00CE0DF2"/>
    <w:rsid w:val="00CE1A2E"/>
    <w:rsid w:val="00CE1CE6"/>
    <w:rsid w:val="00CE2E49"/>
    <w:rsid w:val="00CE4439"/>
    <w:rsid w:val="00CE457B"/>
    <w:rsid w:val="00CE459B"/>
    <w:rsid w:val="00CE468F"/>
    <w:rsid w:val="00CE4ACC"/>
    <w:rsid w:val="00CE4C51"/>
    <w:rsid w:val="00CE5ADE"/>
    <w:rsid w:val="00CE68E9"/>
    <w:rsid w:val="00CE6A92"/>
    <w:rsid w:val="00CE73D6"/>
    <w:rsid w:val="00CE7BEA"/>
    <w:rsid w:val="00CE7E3C"/>
    <w:rsid w:val="00CF003C"/>
    <w:rsid w:val="00CF0162"/>
    <w:rsid w:val="00CF0B4A"/>
    <w:rsid w:val="00CF1CD4"/>
    <w:rsid w:val="00CF25AF"/>
    <w:rsid w:val="00CF4A3A"/>
    <w:rsid w:val="00CF544D"/>
    <w:rsid w:val="00CF6CCC"/>
    <w:rsid w:val="00CF70C2"/>
    <w:rsid w:val="00CF7536"/>
    <w:rsid w:val="00CF7DE7"/>
    <w:rsid w:val="00CF7DF4"/>
    <w:rsid w:val="00D0027B"/>
    <w:rsid w:val="00D00A42"/>
    <w:rsid w:val="00D00AC7"/>
    <w:rsid w:val="00D00BFF"/>
    <w:rsid w:val="00D00FED"/>
    <w:rsid w:val="00D011B2"/>
    <w:rsid w:val="00D01EBE"/>
    <w:rsid w:val="00D02993"/>
    <w:rsid w:val="00D03174"/>
    <w:rsid w:val="00D047B3"/>
    <w:rsid w:val="00D05CD1"/>
    <w:rsid w:val="00D06B6C"/>
    <w:rsid w:val="00D06E33"/>
    <w:rsid w:val="00D06F02"/>
    <w:rsid w:val="00D074C5"/>
    <w:rsid w:val="00D109FB"/>
    <w:rsid w:val="00D10C89"/>
    <w:rsid w:val="00D10DE7"/>
    <w:rsid w:val="00D10DF5"/>
    <w:rsid w:val="00D133F8"/>
    <w:rsid w:val="00D13513"/>
    <w:rsid w:val="00D13F43"/>
    <w:rsid w:val="00D13F72"/>
    <w:rsid w:val="00D14F95"/>
    <w:rsid w:val="00D15113"/>
    <w:rsid w:val="00D15DA4"/>
    <w:rsid w:val="00D166F2"/>
    <w:rsid w:val="00D16BE9"/>
    <w:rsid w:val="00D16D23"/>
    <w:rsid w:val="00D16FCC"/>
    <w:rsid w:val="00D171D8"/>
    <w:rsid w:val="00D17394"/>
    <w:rsid w:val="00D215CE"/>
    <w:rsid w:val="00D22C40"/>
    <w:rsid w:val="00D2346A"/>
    <w:rsid w:val="00D234D1"/>
    <w:rsid w:val="00D239BF"/>
    <w:rsid w:val="00D2405B"/>
    <w:rsid w:val="00D24481"/>
    <w:rsid w:val="00D26323"/>
    <w:rsid w:val="00D266A7"/>
    <w:rsid w:val="00D26EE8"/>
    <w:rsid w:val="00D2783A"/>
    <w:rsid w:val="00D303FF"/>
    <w:rsid w:val="00D31039"/>
    <w:rsid w:val="00D31B8E"/>
    <w:rsid w:val="00D31BBC"/>
    <w:rsid w:val="00D31BBD"/>
    <w:rsid w:val="00D31D78"/>
    <w:rsid w:val="00D31F55"/>
    <w:rsid w:val="00D32941"/>
    <w:rsid w:val="00D32C5D"/>
    <w:rsid w:val="00D33715"/>
    <w:rsid w:val="00D34201"/>
    <w:rsid w:val="00D34330"/>
    <w:rsid w:val="00D35079"/>
    <w:rsid w:val="00D352D9"/>
    <w:rsid w:val="00D3535A"/>
    <w:rsid w:val="00D35425"/>
    <w:rsid w:val="00D355C4"/>
    <w:rsid w:val="00D36161"/>
    <w:rsid w:val="00D361B6"/>
    <w:rsid w:val="00D37138"/>
    <w:rsid w:val="00D37197"/>
    <w:rsid w:val="00D37910"/>
    <w:rsid w:val="00D37BAE"/>
    <w:rsid w:val="00D40527"/>
    <w:rsid w:val="00D415DC"/>
    <w:rsid w:val="00D42061"/>
    <w:rsid w:val="00D427F5"/>
    <w:rsid w:val="00D429C8"/>
    <w:rsid w:val="00D431FD"/>
    <w:rsid w:val="00D4353A"/>
    <w:rsid w:val="00D43667"/>
    <w:rsid w:val="00D437A7"/>
    <w:rsid w:val="00D43FE6"/>
    <w:rsid w:val="00D447C6"/>
    <w:rsid w:val="00D44D20"/>
    <w:rsid w:val="00D4575A"/>
    <w:rsid w:val="00D4578B"/>
    <w:rsid w:val="00D478BA"/>
    <w:rsid w:val="00D5011C"/>
    <w:rsid w:val="00D50540"/>
    <w:rsid w:val="00D50C2B"/>
    <w:rsid w:val="00D50CE2"/>
    <w:rsid w:val="00D51DB5"/>
    <w:rsid w:val="00D53F78"/>
    <w:rsid w:val="00D53FF3"/>
    <w:rsid w:val="00D54340"/>
    <w:rsid w:val="00D5518D"/>
    <w:rsid w:val="00D55288"/>
    <w:rsid w:val="00D55331"/>
    <w:rsid w:val="00D553D8"/>
    <w:rsid w:val="00D5591A"/>
    <w:rsid w:val="00D55C22"/>
    <w:rsid w:val="00D56D36"/>
    <w:rsid w:val="00D57086"/>
    <w:rsid w:val="00D570DC"/>
    <w:rsid w:val="00D57845"/>
    <w:rsid w:val="00D57A6C"/>
    <w:rsid w:val="00D613B7"/>
    <w:rsid w:val="00D61482"/>
    <w:rsid w:val="00D61F16"/>
    <w:rsid w:val="00D629DB"/>
    <w:rsid w:val="00D62ED2"/>
    <w:rsid w:val="00D63127"/>
    <w:rsid w:val="00D635B9"/>
    <w:rsid w:val="00D63A40"/>
    <w:rsid w:val="00D63BD6"/>
    <w:rsid w:val="00D63F84"/>
    <w:rsid w:val="00D660A5"/>
    <w:rsid w:val="00D667BB"/>
    <w:rsid w:val="00D6726A"/>
    <w:rsid w:val="00D674D1"/>
    <w:rsid w:val="00D676D7"/>
    <w:rsid w:val="00D679C9"/>
    <w:rsid w:val="00D70105"/>
    <w:rsid w:val="00D70848"/>
    <w:rsid w:val="00D722F6"/>
    <w:rsid w:val="00D72DC2"/>
    <w:rsid w:val="00D739AC"/>
    <w:rsid w:val="00D742F7"/>
    <w:rsid w:val="00D75B64"/>
    <w:rsid w:val="00D75DEB"/>
    <w:rsid w:val="00D76C7B"/>
    <w:rsid w:val="00D7732F"/>
    <w:rsid w:val="00D774FF"/>
    <w:rsid w:val="00D77766"/>
    <w:rsid w:val="00D801CA"/>
    <w:rsid w:val="00D804F7"/>
    <w:rsid w:val="00D80703"/>
    <w:rsid w:val="00D80910"/>
    <w:rsid w:val="00D81BEA"/>
    <w:rsid w:val="00D81D7E"/>
    <w:rsid w:val="00D82EBE"/>
    <w:rsid w:val="00D83252"/>
    <w:rsid w:val="00D83A47"/>
    <w:rsid w:val="00D83B07"/>
    <w:rsid w:val="00D83DA9"/>
    <w:rsid w:val="00D841EF"/>
    <w:rsid w:val="00D84FC4"/>
    <w:rsid w:val="00D87EB3"/>
    <w:rsid w:val="00D90C2D"/>
    <w:rsid w:val="00D913EB"/>
    <w:rsid w:val="00D913F1"/>
    <w:rsid w:val="00D9190E"/>
    <w:rsid w:val="00D928ED"/>
    <w:rsid w:val="00D93316"/>
    <w:rsid w:val="00D9341F"/>
    <w:rsid w:val="00D93844"/>
    <w:rsid w:val="00D93C63"/>
    <w:rsid w:val="00D93F0A"/>
    <w:rsid w:val="00D9466F"/>
    <w:rsid w:val="00D948CE"/>
    <w:rsid w:val="00D96250"/>
    <w:rsid w:val="00D9643F"/>
    <w:rsid w:val="00DA0113"/>
    <w:rsid w:val="00DA0577"/>
    <w:rsid w:val="00DA07A0"/>
    <w:rsid w:val="00DA0A88"/>
    <w:rsid w:val="00DA1D98"/>
    <w:rsid w:val="00DA20C4"/>
    <w:rsid w:val="00DA37CF"/>
    <w:rsid w:val="00DA3E8C"/>
    <w:rsid w:val="00DA404B"/>
    <w:rsid w:val="00DA47A6"/>
    <w:rsid w:val="00DA4BFD"/>
    <w:rsid w:val="00DA4E99"/>
    <w:rsid w:val="00DA5314"/>
    <w:rsid w:val="00DA67D4"/>
    <w:rsid w:val="00DA6F50"/>
    <w:rsid w:val="00DA7170"/>
    <w:rsid w:val="00DA75A0"/>
    <w:rsid w:val="00DA7C5F"/>
    <w:rsid w:val="00DA7E08"/>
    <w:rsid w:val="00DA7F9C"/>
    <w:rsid w:val="00DB1245"/>
    <w:rsid w:val="00DB13BB"/>
    <w:rsid w:val="00DB1CC8"/>
    <w:rsid w:val="00DB2953"/>
    <w:rsid w:val="00DB332B"/>
    <w:rsid w:val="00DB44DD"/>
    <w:rsid w:val="00DB57E8"/>
    <w:rsid w:val="00DB5CDC"/>
    <w:rsid w:val="00DB66D7"/>
    <w:rsid w:val="00DB6A2A"/>
    <w:rsid w:val="00DB6D24"/>
    <w:rsid w:val="00DB6F5E"/>
    <w:rsid w:val="00DB71C5"/>
    <w:rsid w:val="00DB7D16"/>
    <w:rsid w:val="00DB7DEB"/>
    <w:rsid w:val="00DC01C7"/>
    <w:rsid w:val="00DC19F0"/>
    <w:rsid w:val="00DC1B32"/>
    <w:rsid w:val="00DC1F1F"/>
    <w:rsid w:val="00DC260E"/>
    <w:rsid w:val="00DC2889"/>
    <w:rsid w:val="00DC2B79"/>
    <w:rsid w:val="00DC2F65"/>
    <w:rsid w:val="00DC35C2"/>
    <w:rsid w:val="00DC4229"/>
    <w:rsid w:val="00DC46F4"/>
    <w:rsid w:val="00DC5D8C"/>
    <w:rsid w:val="00DC5FA7"/>
    <w:rsid w:val="00DC601A"/>
    <w:rsid w:val="00DC6825"/>
    <w:rsid w:val="00DC7336"/>
    <w:rsid w:val="00DC74D6"/>
    <w:rsid w:val="00DC7A50"/>
    <w:rsid w:val="00DC7A7E"/>
    <w:rsid w:val="00DC7BF4"/>
    <w:rsid w:val="00DC7DC1"/>
    <w:rsid w:val="00DD00D8"/>
    <w:rsid w:val="00DD0DAE"/>
    <w:rsid w:val="00DD12E2"/>
    <w:rsid w:val="00DD152E"/>
    <w:rsid w:val="00DD33CC"/>
    <w:rsid w:val="00DD34BF"/>
    <w:rsid w:val="00DD37D5"/>
    <w:rsid w:val="00DD3D0E"/>
    <w:rsid w:val="00DD3D75"/>
    <w:rsid w:val="00DD3D78"/>
    <w:rsid w:val="00DD4733"/>
    <w:rsid w:val="00DD4984"/>
    <w:rsid w:val="00DD4B98"/>
    <w:rsid w:val="00DD4F62"/>
    <w:rsid w:val="00DD51C0"/>
    <w:rsid w:val="00DD5BF0"/>
    <w:rsid w:val="00DD5F03"/>
    <w:rsid w:val="00DD66FB"/>
    <w:rsid w:val="00DD6BD3"/>
    <w:rsid w:val="00DD7B52"/>
    <w:rsid w:val="00DD7D39"/>
    <w:rsid w:val="00DD7EC4"/>
    <w:rsid w:val="00DE02EE"/>
    <w:rsid w:val="00DE0850"/>
    <w:rsid w:val="00DE0C54"/>
    <w:rsid w:val="00DE0F8B"/>
    <w:rsid w:val="00DE2854"/>
    <w:rsid w:val="00DE2934"/>
    <w:rsid w:val="00DE2C97"/>
    <w:rsid w:val="00DE31D8"/>
    <w:rsid w:val="00DE3D4E"/>
    <w:rsid w:val="00DE450F"/>
    <w:rsid w:val="00DE4B15"/>
    <w:rsid w:val="00DE50C5"/>
    <w:rsid w:val="00DE5EFF"/>
    <w:rsid w:val="00DE601C"/>
    <w:rsid w:val="00DE66CD"/>
    <w:rsid w:val="00DE7E87"/>
    <w:rsid w:val="00DF0855"/>
    <w:rsid w:val="00DF16AF"/>
    <w:rsid w:val="00DF2665"/>
    <w:rsid w:val="00DF2A4D"/>
    <w:rsid w:val="00DF3B9E"/>
    <w:rsid w:val="00DF3BCA"/>
    <w:rsid w:val="00DF4CD1"/>
    <w:rsid w:val="00DF4DD8"/>
    <w:rsid w:val="00DF59B2"/>
    <w:rsid w:val="00DF5AEA"/>
    <w:rsid w:val="00DF5DFB"/>
    <w:rsid w:val="00DF64DE"/>
    <w:rsid w:val="00DF6CC3"/>
    <w:rsid w:val="00DF6FE6"/>
    <w:rsid w:val="00DF7A19"/>
    <w:rsid w:val="00E00CAF"/>
    <w:rsid w:val="00E00F12"/>
    <w:rsid w:val="00E01874"/>
    <w:rsid w:val="00E03632"/>
    <w:rsid w:val="00E03824"/>
    <w:rsid w:val="00E03F5E"/>
    <w:rsid w:val="00E0402B"/>
    <w:rsid w:val="00E04117"/>
    <w:rsid w:val="00E043D0"/>
    <w:rsid w:val="00E04651"/>
    <w:rsid w:val="00E04997"/>
    <w:rsid w:val="00E04E6E"/>
    <w:rsid w:val="00E05196"/>
    <w:rsid w:val="00E05971"/>
    <w:rsid w:val="00E061A0"/>
    <w:rsid w:val="00E0667C"/>
    <w:rsid w:val="00E10BF8"/>
    <w:rsid w:val="00E12B5B"/>
    <w:rsid w:val="00E12DF9"/>
    <w:rsid w:val="00E141D1"/>
    <w:rsid w:val="00E14208"/>
    <w:rsid w:val="00E1497A"/>
    <w:rsid w:val="00E150AB"/>
    <w:rsid w:val="00E16138"/>
    <w:rsid w:val="00E16414"/>
    <w:rsid w:val="00E17511"/>
    <w:rsid w:val="00E17599"/>
    <w:rsid w:val="00E17659"/>
    <w:rsid w:val="00E1773D"/>
    <w:rsid w:val="00E203DE"/>
    <w:rsid w:val="00E2091F"/>
    <w:rsid w:val="00E21701"/>
    <w:rsid w:val="00E22015"/>
    <w:rsid w:val="00E2268C"/>
    <w:rsid w:val="00E231E7"/>
    <w:rsid w:val="00E2382F"/>
    <w:rsid w:val="00E2419C"/>
    <w:rsid w:val="00E241D9"/>
    <w:rsid w:val="00E2484F"/>
    <w:rsid w:val="00E24B0B"/>
    <w:rsid w:val="00E24C3C"/>
    <w:rsid w:val="00E25810"/>
    <w:rsid w:val="00E25991"/>
    <w:rsid w:val="00E278A5"/>
    <w:rsid w:val="00E3000A"/>
    <w:rsid w:val="00E31138"/>
    <w:rsid w:val="00E31690"/>
    <w:rsid w:val="00E32194"/>
    <w:rsid w:val="00E32A36"/>
    <w:rsid w:val="00E32FE9"/>
    <w:rsid w:val="00E33D77"/>
    <w:rsid w:val="00E33F76"/>
    <w:rsid w:val="00E34523"/>
    <w:rsid w:val="00E35078"/>
    <w:rsid w:val="00E35791"/>
    <w:rsid w:val="00E35A83"/>
    <w:rsid w:val="00E374A0"/>
    <w:rsid w:val="00E37E43"/>
    <w:rsid w:val="00E37FBD"/>
    <w:rsid w:val="00E405C4"/>
    <w:rsid w:val="00E40CB3"/>
    <w:rsid w:val="00E41E0F"/>
    <w:rsid w:val="00E42A46"/>
    <w:rsid w:val="00E42A5A"/>
    <w:rsid w:val="00E42D5B"/>
    <w:rsid w:val="00E43CCA"/>
    <w:rsid w:val="00E4417E"/>
    <w:rsid w:val="00E4448A"/>
    <w:rsid w:val="00E454A9"/>
    <w:rsid w:val="00E4638F"/>
    <w:rsid w:val="00E46CA7"/>
    <w:rsid w:val="00E475A5"/>
    <w:rsid w:val="00E47D8E"/>
    <w:rsid w:val="00E47E89"/>
    <w:rsid w:val="00E47F39"/>
    <w:rsid w:val="00E507EC"/>
    <w:rsid w:val="00E519E1"/>
    <w:rsid w:val="00E51BB1"/>
    <w:rsid w:val="00E52334"/>
    <w:rsid w:val="00E52645"/>
    <w:rsid w:val="00E527D9"/>
    <w:rsid w:val="00E52A07"/>
    <w:rsid w:val="00E53A93"/>
    <w:rsid w:val="00E54057"/>
    <w:rsid w:val="00E545B7"/>
    <w:rsid w:val="00E5514C"/>
    <w:rsid w:val="00E561D0"/>
    <w:rsid w:val="00E56264"/>
    <w:rsid w:val="00E565F6"/>
    <w:rsid w:val="00E5670E"/>
    <w:rsid w:val="00E56736"/>
    <w:rsid w:val="00E579E3"/>
    <w:rsid w:val="00E60513"/>
    <w:rsid w:val="00E60949"/>
    <w:rsid w:val="00E61788"/>
    <w:rsid w:val="00E61F3A"/>
    <w:rsid w:val="00E620CC"/>
    <w:rsid w:val="00E62E80"/>
    <w:rsid w:val="00E6451B"/>
    <w:rsid w:val="00E649C4"/>
    <w:rsid w:val="00E64ACC"/>
    <w:rsid w:val="00E64F3E"/>
    <w:rsid w:val="00E64F73"/>
    <w:rsid w:val="00E661C9"/>
    <w:rsid w:val="00E67657"/>
    <w:rsid w:val="00E67D29"/>
    <w:rsid w:val="00E700BB"/>
    <w:rsid w:val="00E7075F"/>
    <w:rsid w:val="00E713E8"/>
    <w:rsid w:val="00E7159B"/>
    <w:rsid w:val="00E7161D"/>
    <w:rsid w:val="00E717A3"/>
    <w:rsid w:val="00E729BC"/>
    <w:rsid w:val="00E7348E"/>
    <w:rsid w:val="00E7391F"/>
    <w:rsid w:val="00E73A4D"/>
    <w:rsid w:val="00E73AD7"/>
    <w:rsid w:val="00E741E4"/>
    <w:rsid w:val="00E77885"/>
    <w:rsid w:val="00E77991"/>
    <w:rsid w:val="00E77DEE"/>
    <w:rsid w:val="00E801BF"/>
    <w:rsid w:val="00E80B01"/>
    <w:rsid w:val="00E80FBB"/>
    <w:rsid w:val="00E81055"/>
    <w:rsid w:val="00E81528"/>
    <w:rsid w:val="00E82DC3"/>
    <w:rsid w:val="00E83891"/>
    <w:rsid w:val="00E83AD4"/>
    <w:rsid w:val="00E83B53"/>
    <w:rsid w:val="00E83D09"/>
    <w:rsid w:val="00E83D51"/>
    <w:rsid w:val="00E84DD5"/>
    <w:rsid w:val="00E85579"/>
    <w:rsid w:val="00E8611B"/>
    <w:rsid w:val="00E86338"/>
    <w:rsid w:val="00E86F53"/>
    <w:rsid w:val="00E91444"/>
    <w:rsid w:val="00E92B22"/>
    <w:rsid w:val="00E9320B"/>
    <w:rsid w:val="00E936F4"/>
    <w:rsid w:val="00E93907"/>
    <w:rsid w:val="00E94B52"/>
    <w:rsid w:val="00E9569D"/>
    <w:rsid w:val="00E95FE2"/>
    <w:rsid w:val="00E9676A"/>
    <w:rsid w:val="00EA0305"/>
    <w:rsid w:val="00EA0471"/>
    <w:rsid w:val="00EA051B"/>
    <w:rsid w:val="00EA1A7E"/>
    <w:rsid w:val="00EA2203"/>
    <w:rsid w:val="00EA229D"/>
    <w:rsid w:val="00EA239E"/>
    <w:rsid w:val="00EA23DB"/>
    <w:rsid w:val="00EA2575"/>
    <w:rsid w:val="00EA3274"/>
    <w:rsid w:val="00EA3555"/>
    <w:rsid w:val="00EA424E"/>
    <w:rsid w:val="00EA468D"/>
    <w:rsid w:val="00EA518B"/>
    <w:rsid w:val="00EA57D3"/>
    <w:rsid w:val="00EA5B74"/>
    <w:rsid w:val="00EA60E4"/>
    <w:rsid w:val="00EA7D66"/>
    <w:rsid w:val="00EB0494"/>
    <w:rsid w:val="00EB0651"/>
    <w:rsid w:val="00EB1EA0"/>
    <w:rsid w:val="00EB240C"/>
    <w:rsid w:val="00EB266F"/>
    <w:rsid w:val="00EB2D2B"/>
    <w:rsid w:val="00EB3859"/>
    <w:rsid w:val="00EB3AA9"/>
    <w:rsid w:val="00EB48B7"/>
    <w:rsid w:val="00EB4EB9"/>
    <w:rsid w:val="00EB5590"/>
    <w:rsid w:val="00EB61FD"/>
    <w:rsid w:val="00EB6782"/>
    <w:rsid w:val="00EB67A2"/>
    <w:rsid w:val="00EB7D35"/>
    <w:rsid w:val="00EB7F01"/>
    <w:rsid w:val="00EC169F"/>
    <w:rsid w:val="00EC39F7"/>
    <w:rsid w:val="00EC3AC9"/>
    <w:rsid w:val="00EC3F80"/>
    <w:rsid w:val="00EC450B"/>
    <w:rsid w:val="00EC4B1C"/>
    <w:rsid w:val="00EC4C3B"/>
    <w:rsid w:val="00EC6DB9"/>
    <w:rsid w:val="00EC6F37"/>
    <w:rsid w:val="00EC7DB4"/>
    <w:rsid w:val="00ED0E58"/>
    <w:rsid w:val="00ED1360"/>
    <w:rsid w:val="00ED1C48"/>
    <w:rsid w:val="00ED2BB1"/>
    <w:rsid w:val="00ED3445"/>
    <w:rsid w:val="00ED350E"/>
    <w:rsid w:val="00ED35B1"/>
    <w:rsid w:val="00ED4772"/>
    <w:rsid w:val="00ED4B42"/>
    <w:rsid w:val="00ED4EFF"/>
    <w:rsid w:val="00ED5637"/>
    <w:rsid w:val="00ED651B"/>
    <w:rsid w:val="00ED6B1C"/>
    <w:rsid w:val="00ED7C9E"/>
    <w:rsid w:val="00EE008A"/>
    <w:rsid w:val="00EE0748"/>
    <w:rsid w:val="00EE32C5"/>
    <w:rsid w:val="00EE333A"/>
    <w:rsid w:val="00EE3464"/>
    <w:rsid w:val="00EE44F2"/>
    <w:rsid w:val="00EE5229"/>
    <w:rsid w:val="00EE5713"/>
    <w:rsid w:val="00EE5E5D"/>
    <w:rsid w:val="00EE62EC"/>
    <w:rsid w:val="00EE65BF"/>
    <w:rsid w:val="00EE666E"/>
    <w:rsid w:val="00EE6E18"/>
    <w:rsid w:val="00EE73B4"/>
    <w:rsid w:val="00EF02A4"/>
    <w:rsid w:val="00EF06AA"/>
    <w:rsid w:val="00EF0963"/>
    <w:rsid w:val="00EF1307"/>
    <w:rsid w:val="00EF161D"/>
    <w:rsid w:val="00EF1C92"/>
    <w:rsid w:val="00EF1D1C"/>
    <w:rsid w:val="00EF25A2"/>
    <w:rsid w:val="00EF286A"/>
    <w:rsid w:val="00EF3076"/>
    <w:rsid w:val="00EF32F6"/>
    <w:rsid w:val="00EF3BA8"/>
    <w:rsid w:val="00EF3CBB"/>
    <w:rsid w:val="00EF3ED9"/>
    <w:rsid w:val="00EF43C2"/>
    <w:rsid w:val="00EF448D"/>
    <w:rsid w:val="00EF46B7"/>
    <w:rsid w:val="00EF4959"/>
    <w:rsid w:val="00EF4A6C"/>
    <w:rsid w:val="00EF4CF7"/>
    <w:rsid w:val="00EF4F23"/>
    <w:rsid w:val="00EF4FD6"/>
    <w:rsid w:val="00EF53B6"/>
    <w:rsid w:val="00EF65A7"/>
    <w:rsid w:val="00EF6652"/>
    <w:rsid w:val="00EF6840"/>
    <w:rsid w:val="00EF6BA2"/>
    <w:rsid w:val="00F00572"/>
    <w:rsid w:val="00F00CA9"/>
    <w:rsid w:val="00F01CC4"/>
    <w:rsid w:val="00F01F11"/>
    <w:rsid w:val="00F01F9A"/>
    <w:rsid w:val="00F02195"/>
    <w:rsid w:val="00F026FC"/>
    <w:rsid w:val="00F02798"/>
    <w:rsid w:val="00F02903"/>
    <w:rsid w:val="00F029C6"/>
    <w:rsid w:val="00F035BC"/>
    <w:rsid w:val="00F04390"/>
    <w:rsid w:val="00F04F40"/>
    <w:rsid w:val="00F056CA"/>
    <w:rsid w:val="00F0611D"/>
    <w:rsid w:val="00F06270"/>
    <w:rsid w:val="00F063B2"/>
    <w:rsid w:val="00F06442"/>
    <w:rsid w:val="00F07201"/>
    <w:rsid w:val="00F073BE"/>
    <w:rsid w:val="00F078B0"/>
    <w:rsid w:val="00F07D96"/>
    <w:rsid w:val="00F10494"/>
    <w:rsid w:val="00F108CE"/>
    <w:rsid w:val="00F10FC7"/>
    <w:rsid w:val="00F11742"/>
    <w:rsid w:val="00F11900"/>
    <w:rsid w:val="00F11D55"/>
    <w:rsid w:val="00F12046"/>
    <w:rsid w:val="00F127E8"/>
    <w:rsid w:val="00F12910"/>
    <w:rsid w:val="00F12B9D"/>
    <w:rsid w:val="00F13692"/>
    <w:rsid w:val="00F15CD8"/>
    <w:rsid w:val="00F15D6B"/>
    <w:rsid w:val="00F16705"/>
    <w:rsid w:val="00F16F4D"/>
    <w:rsid w:val="00F1756C"/>
    <w:rsid w:val="00F17629"/>
    <w:rsid w:val="00F2130B"/>
    <w:rsid w:val="00F213AF"/>
    <w:rsid w:val="00F21AED"/>
    <w:rsid w:val="00F21BE9"/>
    <w:rsid w:val="00F21D74"/>
    <w:rsid w:val="00F22943"/>
    <w:rsid w:val="00F234A5"/>
    <w:rsid w:val="00F23F56"/>
    <w:rsid w:val="00F24103"/>
    <w:rsid w:val="00F2442C"/>
    <w:rsid w:val="00F244D4"/>
    <w:rsid w:val="00F24FCB"/>
    <w:rsid w:val="00F250B7"/>
    <w:rsid w:val="00F254E9"/>
    <w:rsid w:val="00F25947"/>
    <w:rsid w:val="00F2659F"/>
    <w:rsid w:val="00F2681D"/>
    <w:rsid w:val="00F2695D"/>
    <w:rsid w:val="00F26B60"/>
    <w:rsid w:val="00F26DF9"/>
    <w:rsid w:val="00F27552"/>
    <w:rsid w:val="00F27AD7"/>
    <w:rsid w:val="00F3085A"/>
    <w:rsid w:val="00F30A3A"/>
    <w:rsid w:val="00F31C76"/>
    <w:rsid w:val="00F32414"/>
    <w:rsid w:val="00F33135"/>
    <w:rsid w:val="00F3366F"/>
    <w:rsid w:val="00F33B7F"/>
    <w:rsid w:val="00F33BC8"/>
    <w:rsid w:val="00F34B1E"/>
    <w:rsid w:val="00F34C4A"/>
    <w:rsid w:val="00F35674"/>
    <w:rsid w:val="00F35E8B"/>
    <w:rsid w:val="00F361F0"/>
    <w:rsid w:val="00F36862"/>
    <w:rsid w:val="00F3694F"/>
    <w:rsid w:val="00F36CFD"/>
    <w:rsid w:val="00F36EB9"/>
    <w:rsid w:val="00F37491"/>
    <w:rsid w:val="00F374DA"/>
    <w:rsid w:val="00F37948"/>
    <w:rsid w:val="00F37A94"/>
    <w:rsid w:val="00F40006"/>
    <w:rsid w:val="00F40400"/>
    <w:rsid w:val="00F417A1"/>
    <w:rsid w:val="00F419A6"/>
    <w:rsid w:val="00F425F3"/>
    <w:rsid w:val="00F42789"/>
    <w:rsid w:val="00F4292B"/>
    <w:rsid w:val="00F42B4B"/>
    <w:rsid w:val="00F42CC8"/>
    <w:rsid w:val="00F42E18"/>
    <w:rsid w:val="00F42EC4"/>
    <w:rsid w:val="00F44810"/>
    <w:rsid w:val="00F44989"/>
    <w:rsid w:val="00F454ED"/>
    <w:rsid w:val="00F458BF"/>
    <w:rsid w:val="00F459E2"/>
    <w:rsid w:val="00F46065"/>
    <w:rsid w:val="00F46738"/>
    <w:rsid w:val="00F46D85"/>
    <w:rsid w:val="00F46FA7"/>
    <w:rsid w:val="00F47333"/>
    <w:rsid w:val="00F477B0"/>
    <w:rsid w:val="00F479F2"/>
    <w:rsid w:val="00F50A5B"/>
    <w:rsid w:val="00F51343"/>
    <w:rsid w:val="00F5172A"/>
    <w:rsid w:val="00F51B26"/>
    <w:rsid w:val="00F52301"/>
    <w:rsid w:val="00F52836"/>
    <w:rsid w:val="00F52D77"/>
    <w:rsid w:val="00F534D2"/>
    <w:rsid w:val="00F53610"/>
    <w:rsid w:val="00F53971"/>
    <w:rsid w:val="00F53F65"/>
    <w:rsid w:val="00F54DA0"/>
    <w:rsid w:val="00F55A60"/>
    <w:rsid w:val="00F55D60"/>
    <w:rsid w:val="00F55FF7"/>
    <w:rsid w:val="00F56543"/>
    <w:rsid w:val="00F56836"/>
    <w:rsid w:val="00F575A9"/>
    <w:rsid w:val="00F57B3B"/>
    <w:rsid w:val="00F60994"/>
    <w:rsid w:val="00F60ED9"/>
    <w:rsid w:val="00F619E4"/>
    <w:rsid w:val="00F61B6D"/>
    <w:rsid w:val="00F63BA4"/>
    <w:rsid w:val="00F63E85"/>
    <w:rsid w:val="00F642BB"/>
    <w:rsid w:val="00F6488C"/>
    <w:rsid w:val="00F64A8C"/>
    <w:rsid w:val="00F64D22"/>
    <w:rsid w:val="00F651BD"/>
    <w:rsid w:val="00F70AC5"/>
    <w:rsid w:val="00F70AE2"/>
    <w:rsid w:val="00F711D0"/>
    <w:rsid w:val="00F7339C"/>
    <w:rsid w:val="00F733F4"/>
    <w:rsid w:val="00F748BF"/>
    <w:rsid w:val="00F74CD4"/>
    <w:rsid w:val="00F74E86"/>
    <w:rsid w:val="00F75525"/>
    <w:rsid w:val="00F75633"/>
    <w:rsid w:val="00F7680F"/>
    <w:rsid w:val="00F76A6F"/>
    <w:rsid w:val="00F76BFB"/>
    <w:rsid w:val="00F772CE"/>
    <w:rsid w:val="00F77D91"/>
    <w:rsid w:val="00F800DA"/>
    <w:rsid w:val="00F80377"/>
    <w:rsid w:val="00F80BE2"/>
    <w:rsid w:val="00F81E09"/>
    <w:rsid w:val="00F828C8"/>
    <w:rsid w:val="00F82C3E"/>
    <w:rsid w:val="00F833BC"/>
    <w:rsid w:val="00F8367B"/>
    <w:rsid w:val="00F83962"/>
    <w:rsid w:val="00F83FB4"/>
    <w:rsid w:val="00F845FF"/>
    <w:rsid w:val="00F84AEF"/>
    <w:rsid w:val="00F85740"/>
    <w:rsid w:val="00F87172"/>
    <w:rsid w:val="00F87403"/>
    <w:rsid w:val="00F87F9D"/>
    <w:rsid w:val="00F91575"/>
    <w:rsid w:val="00F91826"/>
    <w:rsid w:val="00F924AC"/>
    <w:rsid w:val="00F92D5A"/>
    <w:rsid w:val="00F93AC1"/>
    <w:rsid w:val="00F93D9E"/>
    <w:rsid w:val="00F942A0"/>
    <w:rsid w:val="00F9432A"/>
    <w:rsid w:val="00F94EA2"/>
    <w:rsid w:val="00FA0353"/>
    <w:rsid w:val="00FA097A"/>
    <w:rsid w:val="00FA0AF2"/>
    <w:rsid w:val="00FA2DEA"/>
    <w:rsid w:val="00FA35A4"/>
    <w:rsid w:val="00FA3787"/>
    <w:rsid w:val="00FA3990"/>
    <w:rsid w:val="00FA4921"/>
    <w:rsid w:val="00FA4DEF"/>
    <w:rsid w:val="00FA56F2"/>
    <w:rsid w:val="00FA60D0"/>
    <w:rsid w:val="00FA6789"/>
    <w:rsid w:val="00FA6AFA"/>
    <w:rsid w:val="00FA7C38"/>
    <w:rsid w:val="00FB0043"/>
    <w:rsid w:val="00FB0FB1"/>
    <w:rsid w:val="00FB1FEB"/>
    <w:rsid w:val="00FB258D"/>
    <w:rsid w:val="00FB278C"/>
    <w:rsid w:val="00FB2AAF"/>
    <w:rsid w:val="00FB3C21"/>
    <w:rsid w:val="00FB410C"/>
    <w:rsid w:val="00FB429A"/>
    <w:rsid w:val="00FB42B4"/>
    <w:rsid w:val="00FB42D2"/>
    <w:rsid w:val="00FB460B"/>
    <w:rsid w:val="00FB4D52"/>
    <w:rsid w:val="00FB6327"/>
    <w:rsid w:val="00FB69C7"/>
    <w:rsid w:val="00FB7075"/>
    <w:rsid w:val="00FB7A76"/>
    <w:rsid w:val="00FC01C9"/>
    <w:rsid w:val="00FC0BD2"/>
    <w:rsid w:val="00FC1E3E"/>
    <w:rsid w:val="00FC31BF"/>
    <w:rsid w:val="00FC3399"/>
    <w:rsid w:val="00FC35B9"/>
    <w:rsid w:val="00FC36C4"/>
    <w:rsid w:val="00FC3D47"/>
    <w:rsid w:val="00FC48A2"/>
    <w:rsid w:val="00FC51F6"/>
    <w:rsid w:val="00FC5277"/>
    <w:rsid w:val="00FC5911"/>
    <w:rsid w:val="00FC5C80"/>
    <w:rsid w:val="00FC5F75"/>
    <w:rsid w:val="00FC6300"/>
    <w:rsid w:val="00FC6948"/>
    <w:rsid w:val="00FC6B24"/>
    <w:rsid w:val="00FC6D42"/>
    <w:rsid w:val="00FC7008"/>
    <w:rsid w:val="00FC786E"/>
    <w:rsid w:val="00FD0812"/>
    <w:rsid w:val="00FD19F3"/>
    <w:rsid w:val="00FD2D03"/>
    <w:rsid w:val="00FD3F75"/>
    <w:rsid w:val="00FD445A"/>
    <w:rsid w:val="00FD5261"/>
    <w:rsid w:val="00FD53CD"/>
    <w:rsid w:val="00FD61DD"/>
    <w:rsid w:val="00FD6C2D"/>
    <w:rsid w:val="00FD6E12"/>
    <w:rsid w:val="00FD7183"/>
    <w:rsid w:val="00FD7A4D"/>
    <w:rsid w:val="00FE189B"/>
    <w:rsid w:val="00FE23B5"/>
    <w:rsid w:val="00FE2AA4"/>
    <w:rsid w:val="00FE2F0F"/>
    <w:rsid w:val="00FE306F"/>
    <w:rsid w:val="00FE3F7B"/>
    <w:rsid w:val="00FE4778"/>
    <w:rsid w:val="00FE484E"/>
    <w:rsid w:val="00FE5F48"/>
    <w:rsid w:val="00FE7008"/>
    <w:rsid w:val="00FE7123"/>
    <w:rsid w:val="00FE749B"/>
    <w:rsid w:val="00FE7761"/>
    <w:rsid w:val="00FF01B8"/>
    <w:rsid w:val="00FF0777"/>
    <w:rsid w:val="00FF0998"/>
    <w:rsid w:val="00FF0E54"/>
    <w:rsid w:val="00FF136E"/>
    <w:rsid w:val="00FF3159"/>
    <w:rsid w:val="00FF324A"/>
    <w:rsid w:val="00FF518F"/>
    <w:rsid w:val="00FF544A"/>
    <w:rsid w:val="00FF6369"/>
    <w:rsid w:val="00FF6371"/>
    <w:rsid w:val="00FF68FF"/>
    <w:rsid w:val="00FF70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1C6AC"/>
  <w15:docId w15:val="{034D973B-CAA3-DE4D-805D-134F9C08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19"/>
    <w:rPr>
      <w:rFonts w:ascii="Adobe Garamond Pro" w:hAnsi="Adobe Garamond Pro"/>
      <w:kern w:val="16"/>
      <w:sz w:val="28"/>
      <w:szCs w:val="24"/>
      <w14:ligatures w14:val="standard"/>
      <w14:numForm w14:val="oldStyle"/>
      <w14:numSpacing w14:val="proportional"/>
      <w14:cntxtAlts/>
    </w:rPr>
  </w:style>
  <w:style w:type="paragraph" w:styleId="Heading1">
    <w:name w:val="heading 1"/>
    <w:basedOn w:val="Normal"/>
    <w:next w:val="BodyText"/>
    <w:link w:val="Heading1Char"/>
    <w:uiPriority w:val="9"/>
    <w:qFormat/>
    <w:rsid w:val="002C453D"/>
    <w:pPr>
      <w:keepNext/>
      <w:keepLines/>
      <w:numPr>
        <w:numId w:val="42"/>
      </w:numPr>
      <w:spacing w:after="80" w:line="336" w:lineRule="exact"/>
      <w:jc w:val="center"/>
      <w:outlineLvl w:val="0"/>
    </w:pPr>
    <w:rPr>
      <w:rFonts w:ascii="Adobe Garamond Pro Bold" w:eastAsiaTheme="majorEastAsia" w:hAnsi="Adobe Garamond Pro Bold" w:cstheme="majorBidi"/>
      <w:b/>
      <w:bCs/>
      <w:caps/>
      <w:szCs w:val="28"/>
    </w:rPr>
  </w:style>
  <w:style w:type="paragraph" w:styleId="Heading2">
    <w:name w:val="heading 2"/>
    <w:basedOn w:val="Normal"/>
    <w:next w:val="BodyText"/>
    <w:link w:val="Heading2Char"/>
    <w:uiPriority w:val="9"/>
    <w:unhideWhenUsed/>
    <w:qFormat/>
    <w:rsid w:val="00620589"/>
    <w:pPr>
      <w:keepNext/>
      <w:keepLines/>
      <w:numPr>
        <w:ilvl w:val="1"/>
        <w:numId w:val="42"/>
      </w:numPr>
      <w:tabs>
        <w:tab w:val="clear" w:pos="1836"/>
        <w:tab w:val="num" w:pos="576"/>
      </w:tabs>
      <w:spacing w:line="336" w:lineRule="exact"/>
      <w:ind w:left="576"/>
      <w:outlineLvl w:val="1"/>
    </w:pPr>
    <w:rPr>
      <w:rFonts w:ascii="Adobe Garamond Pro Bold" w:hAnsi="Adobe Garamond Pro Bold"/>
      <w:b/>
      <w:bCs/>
      <w:szCs w:val="28"/>
    </w:rPr>
  </w:style>
  <w:style w:type="paragraph" w:styleId="Heading3">
    <w:name w:val="heading 3"/>
    <w:basedOn w:val="Normal"/>
    <w:next w:val="BodyText"/>
    <w:link w:val="Heading3Char"/>
    <w:uiPriority w:val="9"/>
    <w:unhideWhenUsed/>
    <w:qFormat/>
    <w:rsid w:val="00620589"/>
    <w:pPr>
      <w:keepNext/>
      <w:keepLines/>
      <w:numPr>
        <w:ilvl w:val="2"/>
        <w:numId w:val="42"/>
      </w:numPr>
      <w:spacing w:after="40" w:line="336" w:lineRule="exact"/>
      <w:outlineLvl w:val="2"/>
    </w:pPr>
    <w:rPr>
      <w:rFonts w:ascii="Adobe Garamond Pro Bold" w:hAnsi="Adobe Garamond Pro Bold"/>
      <w:b/>
      <w:bCs/>
      <w:szCs w:val="28"/>
    </w:rPr>
  </w:style>
  <w:style w:type="paragraph" w:styleId="Heading4">
    <w:name w:val="heading 4"/>
    <w:basedOn w:val="Normal"/>
    <w:next w:val="BodyText"/>
    <w:link w:val="Heading4Char"/>
    <w:autoRedefine/>
    <w:uiPriority w:val="9"/>
    <w:unhideWhenUsed/>
    <w:qFormat/>
    <w:rsid w:val="00FC3399"/>
    <w:pPr>
      <w:keepNext/>
      <w:keepLines/>
      <w:numPr>
        <w:numId w:val="56"/>
      </w:numPr>
      <w:spacing w:line="336" w:lineRule="exact"/>
      <w:outlineLvl w:val="3"/>
    </w:pPr>
    <w:rPr>
      <w:rFonts w:ascii="Adobe Garamond Pro Bold" w:hAnsi="Adobe Garamond Pro Bold"/>
      <w:b/>
      <w:szCs w:val="28"/>
    </w:rPr>
  </w:style>
  <w:style w:type="paragraph" w:styleId="Heading5">
    <w:name w:val="heading 5"/>
    <w:basedOn w:val="Normal"/>
    <w:next w:val="BodyText"/>
    <w:link w:val="Heading5Char"/>
    <w:autoRedefine/>
    <w:uiPriority w:val="9"/>
    <w:unhideWhenUsed/>
    <w:qFormat/>
    <w:rsid w:val="00C658E5"/>
    <w:pPr>
      <w:keepNext/>
      <w:keepLines/>
      <w:spacing w:after="280"/>
      <w:outlineLvl w:val="4"/>
    </w:pPr>
    <w:rPr>
      <w:rFonts w:ascii="Baskerville" w:eastAsiaTheme="majorEastAsia" w:hAnsi="Baskerville" w:cstheme="majorBidi"/>
      <w:b/>
      <w:bCs/>
      <w:szCs w:val="28"/>
    </w:rPr>
  </w:style>
  <w:style w:type="paragraph" w:styleId="Heading6">
    <w:name w:val="heading 6"/>
    <w:basedOn w:val="Normal"/>
    <w:next w:val="Normal"/>
    <w:link w:val="Heading6Char"/>
    <w:uiPriority w:val="9"/>
    <w:unhideWhenUsed/>
    <w:qFormat/>
    <w:rsid w:val="00C658E5"/>
    <w:pPr>
      <w:keepNext/>
      <w:keepLines/>
      <w:spacing w:after="280"/>
      <w:jc w:val="center"/>
      <w:outlineLvl w:val="5"/>
    </w:pPr>
    <w:rPr>
      <w:rFonts w:ascii="Baskerville" w:eastAsiaTheme="majorEastAsia" w:hAnsi="Baskerville" w:cstheme="majorBidi"/>
      <w:b/>
      <w:bCs/>
      <w:szCs w:val="28"/>
      <w:u w:val="single"/>
    </w:rPr>
  </w:style>
  <w:style w:type="paragraph" w:styleId="Heading7">
    <w:name w:val="heading 7"/>
    <w:basedOn w:val="Normal"/>
    <w:next w:val="Normal"/>
    <w:link w:val="Heading7Char"/>
    <w:uiPriority w:val="9"/>
    <w:semiHidden/>
    <w:unhideWhenUsed/>
    <w:qFormat/>
    <w:rsid w:val="00C658E5"/>
    <w:pPr>
      <w:keepNext/>
      <w:keepLines/>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8E5"/>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58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BA"/>
    <w:pPr>
      <w:ind w:left="720"/>
      <w:contextualSpacing/>
    </w:pPr>
  </w:style>
  <w:style w:type="paragraph" w:styleId="Header">
    <w:name w:val="header"/>
    <w:basedOn w:val="Normal"/>
    <w:link w:val="HeaderChar"/>
    <w:uiPriority w:val="99"/>
    <w:rsid w:val="001C27AE"/>
    <w:pPr>
      <w:tabs>
        <w:tab w:val="center" w:pos="4680"/>
        <w:tab w:val="right" w:pos="9360"/>
      </w:tabs>
    </w:pPr>
  </w:style>
  <w:style w:type="character" w:customStyle="1" w:styleId="HeaderChar">
    <w:name w:val="Header Char"/>
    <w:basedOn w:val="DefaultParagraphFont"/>
    <w:link w:val="Header"/>
    <w:uiPriority w:val="99"/>
    <w:rsid w:val="001C27AE"/>
    <w:rPr>
      <w:rFonts w:ascii="Times New Roman" w:hAnsi="Times New Roman" w:cs="Times New Roman"/>
      <w:kern w:val="16"/>
      <w:sz w:val="28"/>
      <w:szCs w:val="28"/>
      <w14:ligatures w14:val="standard"/>
      <w14:numForm w14:val="oldStyle"/>
      <w14:numSpacing w14:val="proportional"/>
      <w14:stylisticSets/>
      <w14:cntxtAlts/>
    </w:rPr>
  </w:style>
  <w:style w:type="paragraph" w:styleId="Footer">
    <w:name w:val="footer"/>
    <w:basedOn w:val="Normal"/>
    <w:link w:val="FooterChar"/>
    <w:uiPriority w:val="99"/>
    <w:rsid w:val="00FC36C4"/>
    <w:pPr>
      <w:tabs>
        <w:tab w:val="center" w:pos="4320"/>
        <w:tab w:val="right" w:pos="8640"/>
      </w:tabs>
    </w:pPr>
    <w:rPr>
      <w:rFonts w:ascii="Baskerville" w:eastAsiaTheme="minorEastAsia" w:hAnsi="Baskerville" w:cstheme="minorBidi"/>
      <w:lang w:eastAsia="ja-JP"/>
    </w:rPr>
  </w:style>
  <w:style w:type="character" w:customStyle="1" w:styleId="FooterChar">
    <w:name w:val="Footer Char"/>
    <w:basedOn w:val="DefaultParagraphFont"/>
    <w:link w:val="Footer"/>
    <w:uiPriority w:val="99"/>
    <w:rsid w:val="00FC36C4"/>
    <w:rPr>
      <w:rFonts w:ascii="Baskerville" w:eastAsiaTheme="minorEastAsia" w:hAnsi="Baskerville" w:cstheme="minorBidi"/>
      <w:kern w:val="16"/>
      <w:sz w:val="28"/>
      <w:szCs w:val="24"/>
      <w:lang w:eastAsia="ja-JP"/>
      <w14:ligatures w14:val="standard"/>
      <w14:numForm w14:val="oldStyle"/>
      <w14:numSpacing w14:val="proportional"/>
      <w14:stylisticSets/>
      <w14:cntxtAlts/>
    </w:rPr>
  </w:style>
  <w:style w:type="paragraph" w:styleId="BalloonText">
    <w:name w:val="Balloon Text"/>
    <w:basedOn w:val="Normal"/>
    <w:link w:val="BalloonTextChar"/>
    <w:uiPriority w:val="99"/>
    <w:semiHidden/>
    <w:rsid w:val="008373CA"/>
    <w:rPr>
      <w:rFonts w:ascii="Tahoma" w:hAnsi="Tahoma" w:cs="Tahoma"/>
      <w:sz w:val="16"/>
      <w:szCs w:val="16"/>
    </w:rPr>
  </w:style>
  <w:style w:type="character" w:customStyle="1" w:styleId="BalloonTextChar">
    <w:name w:val="Balloon Text Char"/>
    <w:basedOn w:val="DefaultParagraphFont"/>
    <w:link w:val="BalloonText"/>
    <w:uiPriority w:val="99"/>
    <w:semiHidden/>
    <w:rsid w:val="008373CA"/>
    <w:rPr>
      <w:rFonts w:ascii="Tahoma" w:hAnsi="Tahoma" w:cs="Tahoma"/>
      <w:kern w:val="16"/>
      <w:sz w:val="16"/>
      <w:szCs w:val="16"/>
      <w14:ligatures w14:val="standard"/>
      <w14:numForm w14:val="oldStyle"/>
      <w14:numSpacing w14:val="proportional"/>
      <w14:stylisticSets/>
      <w14:cntxtAlts/>
    </w:rPr>
  </w:style>
  <w:style w:type="paragraph" w:styleId="FootnoteText">
    <w:name w:val="footnote text"/>
    <w:basedOn w:val="Normal"/>
    <w:link w:val="FootnoteTextChar"/>
    <w:uiPriority w:val="99"/>
    <w:unhideWhenUsed/>
    <w:qFormat/>
    <w:rsid w:val="003A6090"/>
    <w:pPr>
      <w:spacing w:after="160"/>
      <w:ind w:firstLine="432"/>
      <w:jc w:val="both"/>
    </w:pPr>
    <w:rPr>
      <w:rFonts w:eastAsiaTheme="minorEastAsia" w:cs="Times New Roman (Body CS)"/>
      <w:lang w:eastAsia="ja-JP"/>
    </w:rPr>
  </w:style>
  <w:style w:type="character" w:customStyle="1" w:styleId="FootnoteTextChar">
    <w:name w:val="Footnote Text Char"/>
    <w:basedOn w:val="DefaultParagraphFont"/>
    <w:link w:val="FootnoteText"/>
    <w:uiPriority w:val="99"/>
    <w:rsid w:val="003A6090"/>
    <w:rPr>
      <w:rFonts w:ascii="Adobe Garamond Pro" w:eastAsiaTheme="minorEastAsia" w:hAnsi="Adobe Garamond Pro" w:cs="Times New Roman (Body CS)"/>
      <w:kern w:val="16"/>
      <w:sz w:val="28"/>
      <w:szCs w:val="24"/>
      <w:lang w:eastAsia="ja-JP"/>
      <w14:ligatures w14:val="standard"/>
      <w14:numForm w14:val="oldStyle"/>
      <w14:numSpacing w14:val="proportional"/>
      <w14:stylisticSets/>
      <w14:cntxtAlts/>
    </w:rPr>
  </w:style>
  <w:style w:type="character" w:styleId="FootnoteReference">
    <w:name w:val="footnote reference"/>
    <w:basedOn w:val="DefaultParagraphFont"/>
    <w:uiPriority w:val="99"/>
    <w:unhideWhenUsed/>
    <w:qFormat/>
    <w:rsid w:val="00FC36C4"/>
    <w:rPr>
      <w:rFonts w:ascii="Adobe Garamond Pro" w:hAnsi="Adobe Garamond Pro"/>
      <w:kern w:val="16"/>
      <w:sz w:val="28"/>
      <w:vertAlign w:val="superscript"/>
      <w14:ligatures w14:val="standard"/>
      <w14:numForm w14:val="oldStyle"/>
      <w14:numSpacing w14:val="proportional"/>
      <w14:stylisticSets/>
      <w14:cntxtAlts/>
    </w:rPr>
  </w:style>
  <w:style w:type="paragraph" w:customStyle="1" w:styleId="Address">
    <w:name w:val="*Address"/>
    <w:aliases w:val="add"/>
    <w:basedOn w:val="Normal"/>
    <w:uiPriority w:val="99"/>
    <w:rsid w:val="00757ED2"/>
    <w:pPr>
      <w:spacing w:after="240"/>
      <w:contextualSpacing/>
    </w:pPr>
  </w:style>
  <w:style w:type="paragraph" w:customStyle="1" w:styleId="BodyDbl">
    <w:name w:val="*Body Dbl"/>
    <w:aliases w:val="bd"/>
    <w:basedOn w:val="Normal"/>
    <w:uiPriority w:val="99"/>
    <w:rsid w:val="00757ED2"/>
    <w:pPr>
      <w:spacing w:line="480" w:lineRule="auto"/>
    </w:pPr>
  </w:style>
  <w:style w:type="paragraph" w:customStyle="1" w:styleId="BodyDbl0">
    <w:name w:val="*Body Dbl&gt;"/>
    <w:aliases w:val="bd&gt;"/>
    <w:basedOn w:val="Normal"/>
    <w:uiPriority w:val="99"/>
    <w:rsid w:val="00757ED2"/>
    <w:pPr>
      <w:spacing w:line="480" w:lineRule="auto"/>
      <w:ind w:firstLine="720"/>
    </w:pPr>
  </w:style>
  <w:style w:type="paragraph" w:customStyle="1" w:styleId="BodyDbl1">
    <w:name w:val="*Body Dbl&gt;&gt;"/>
    <w:aliases w:val="bd&gt;&gt;"/>
    <w:basedOn w:val="Normal"/>
    <w:uiPriority w:val="99"/>
    <w:rsid w:val="00757ED2"/>
    <w:pPr>
      <w:spacing w:line="480" w:lineRule="auto"/>
      <w:ind w:firstLine="1440"/>
    </w:pPr>
  </w:style>
  <w:style w:type="paragraph" w:customStyle="1" w:styleId="BodySingle">
    <w:name w:val="*Body Single"/>
    <w:aliases w:val="bs"/>
    <w:basedOn w:val="Normal"/>
    <w:uiPriority w:val="99"/>
    <w:rsid w:val="00757ED2"/>
    <w:pPr>
      <w:spacing w:after="240"/>
    </w:pPr>
  </w:style>
  <w:style w:type="paragraph" w:customStyle="1" w:styleId="BodySingle0">
    <w:name w:val="*Body Single&gt;"/>
    <w:aliases w:val="bs&gt;"/>
    <w:basedOn w:val="Normal"/>
    <w:uiPriority w:val="99"/>
    <w:rsid w:val="00757ED2"/>
    <w:pPr>
      <w:spacing w:after="240"/>
      <w:ind w:firstLine="720"/>
    </w:pPr>
  </w:style>
  <w:style w:type="paragraph" w:customStyle="1" w:styleId="BodySingle1">
    <w:name w:val="*Body Single&gt;&gt;"/>
    <w:aliases w:val="bs&gt;&gt;"/>
    <w:basedOn w:val="Normal"/>
    <w:uiPriority w:val="99"/>
    <w:rsid w:val="00757ED2"/>
    <w:pPr>
      <w:spacing w:after="240"/>
      <w:ind w:firstLine="1440"/>
    </w:pPr>
  </w:style>
  <w:style w:type="paragraph" w:customStyle="1" w:styleId="Bullet3">
    <w:name w:val="*Bullet"/>
    <w:aliases w:val="bt"/>
    <w:basedOn w:val="Normal"/>
    <w:uiPriority w:val="99"/>
    <w:rsid w:val="00757ED2"/>
    <w:pPr>
      <w:numPr>
        <w:numId w:val="1"/>
      </w:numPr>
      <w:spacing w:after="240"/>
    </w:pPr>
  </w:style>
  <w:style w:type="paragraph" w:customStyle="1" w:styleId="Bullet">
    <w:name w:val="*Bullet&gt;"/>
    <w:aliases w:val="bt&gt;"/>
    <w:basedOn w:val="Normal"/>
    <w:uiPriority w:val="99"/>
    <w:rsid w:val="00757ED2"/>
    <w:pPr>
      <w:numPr>
        <w:numId w:val="2"/>
      </w:numPr>
      <w:tabs>
        <w:tab w:val="clear" w:pos="720"/>
      </w:tabs>
      <w:spacing w:after="240"/>
    </w:pPr>
  </w:style>
  <w:style w:type="paragraph" w:customStyle="1" w:styleId="Bullet0">
    <w:name w:val="*Bullet&gt;&gt;"/>
    <w:aliases w:val="bt&gt;&gt;"/>
    <w:basedOn w:val="Normal"/>
    <w:uiPriority w:val="99"/>
    <w:rsid w:val="00757ED2"/>
    <w:pPr>
      <w:numPr>
        <w:numId w:val="3"/>
      </w:numPr>
      <w:tabs>
        <w:tab w:val="clear" w:pos="0"/>
      </w:tabs>
      <w:spacing w:after="240"/>
    </w:pPr>
  </w:style>
  <w:style w:type="paragraph" w:customStyle="1" w:styleId="Bullet1">
    <w:name w:val="*Bullet1"/>
    <w:aliases w:val="bt1"/>
    <w:basedOn w:val="Normal"/>
    <w:uiPriority w:val="99"/>
    <w:rsid w:val="00757ED2"/>
    <w:pPr>
      <w:numPr>
        <w:numId w:val="4"/>
      </w:numPr>
      <w:spacing w:after="240"/>
    </w:pPr>
  </w:style>
  <w:style w:type="paragraph" w:customStyle="1" w:styleId="Bullet2">
    <w:name w:val="*Bullet2"/>
    <w:aliases w:val="bt2"/>
    <w:basedOn w:val="Normal"/>
    <w:uiPriority w:val="99"/>
    <w:rsid w:val="00757ED2"/>
    <w:pPr>
      <w:numPr>
        <w:numId w:val="5"/>
      </w:numPr>
      <w:spacing w:after="240"/>
    </w:pPr>
  </w:style>
  <w:style w:type="paragraph" w:customStyle="1" w:styleId="CenteredText">
    <w:name w:val="*Centered Text"/>
    <w:aliases w:val="ct"/>
    <w:basedOn w:val="Normal"/>
    <w:uiPriority w:val="99"/>
    <w:rsid w:val="00757ED2"/>
    <w:pPr>
      <w:spacing w:after="240"/>
      <w:jc w:val="center"/>
    </w:pPr>
  </w:style>
  <w:style w:type="paragraph" w:customStyle="1" w:styleId="FlushRight">
    <w:name w:val="*Flush Right"/>
    <w:aliases w:val="fr"/>
    <w:basedOn w:val="Normal"/>
    <w:uiPriority w:val="99"/>
    <w:rsid w:val="00757ED2"/>
    <w:pPr>
      <w:spacing w:after="240"/>
      <w:jc w:val="right"/>
    </w:pPr>
  </w:style>
  <w:style w:type="paragraph" w:customStyle="1" w:styleId="Hanging">
    <w:name w:val="*Hanging"/>
    <w:aliases w:val="hg"/>
    <w:basedOn w:val="Normal"/>
    <w:uiPriority w:val="99"/>
    <w:rsid w:val="00757ED2"/>
    <w:pPr>
      <w:spacing w:after="240"/>
      <w:ind w:left="720" w:hanging="720"/>
    </w:pPr>
  </w:style>
  <w:style w:type="paragraph" w:customStyle="1" w:styleId="Hanging1">
    <w:name w:val="*Hanging1"/>
    <w:aliases w:val="hg1"/>
    <w:basedOn w:val="Normal"/>
    <w:uiPriority w:val="99"/>
    <w:rsid w:val="00757ED2"/>
    <w:pPr>
      <w:spacing w:after="240"/>
      <w:ind w:left="1440" w:hanging="720"/>
    </w:pPr>
  </w:style>
  <w:style w:type="paragraph" w:customStyle="1" w:styleId="Indent1">
    <w:name w:val="*Indent1"/>
    <w:aliases w:val="i1"/>
    <w:basedOn w:val="Normal"/>
    <w:uiPriority w:val="99"/>
    <w:rsid w:val="00757ED2"/>
    <w:pPr>
      <w:spacing w:after="240"/>
      <w:ind w:left="720"/>
    </w:pPr>
  </w:style>
  <w:style w:type="paragraph" w:customStyle="1" w:styleId="Indent10">
    <w:name w:val="*Indent1&gt;"/>
    <w:aliases w:val="i1&gt;"/>
    <w:basedOn w:val="Normal"/>
    <w:uiPriority w:val="99"/>
    <w:rsid w:val="00757ED2"/>
    <w:pPr>
      <w:spacing w:after="240"/>
      <w:ind w:left="720" w:firstLine="720"/>
    </w:pPr>
  </w:style>
  <w:style w:type="paragraph" w:customStyle="1" w:styleId="Indent2">
    <w:name w:val="*Indent2"/>
    <w:aliases w:val="i2"/>
    <w:basedOn w:val="Normal"/>
    <w:uiPriority w:val="99"/>
    <w:rsid w:val="00757ED2"/>
    <w:pPr>
      <w:spacing w:after="240"/>
      <w:ind w:left="1440"/>
    </w:pPr>
  </w:style>
  <w:style w:type="paragraph" w:customStyle="1" w:styleId="Indent20">
    <w:name w:val="*Indent2&gt;"/>
    <w:aliases w:val="i2&gt;"/>
    <w:basedOn w:val="Normal"/>
    <w:uiPriority w:val="99"/>
    <w:rsid w:val="00757ED2"/>
    <w:pPr>
      <w:spacing w:after="240"/>
      <w:ind w:left="1440" w:firstLine="720"/>
    </w:pPr>
  </w:style>
  <w:style w:type="paragraph" w:customStyle="1" w:styleId="Indent3">
    <w:name w:val="*Indent3"/>
    <w:aliases w:val="i3"/>
    <w:basedOn w:val="Normal"/>
    <w:uiPriority w:val="99"/>
    <w:rsid w:val="00757ED2"/>
    <w:pPr>
      <w:spacing w:after="240"/>
      <w:ind w:left="2160"/>
    </w:pPr>
  </w:style>
  <w:style w:type="paragraph" w:customStyle="1" w:styleId="Indent30">
    <w:name w:val="*Indent3&gt;"/>
    <w:aliases w:val="i3&gt;"/>
    <w:basedOn w:val="Normal"/>
    <w:uiPriority w:val="99"/>
    <w:rsid w:val="00757ED2"/>
    <w:pPr>
      <w:spacing w:after="240"/>
      <w:ind w:left="2160" w:firstLine="720"/>
    </w:pPr>
  </w:style>
  <w:style w:type="paragraph" w:customStyle="1" w:styleId="NumList1">
    <w:name w:val="*NumList"/>
    <w:aliases w:val="nl"/>
    <w:basedOn w:val="Normal"/>
    <w:uiPriority w:val="99"/>
    <w:rsid w:val="00757ED2"/>
    <w:pPr>
      <w:numPr>
        <w:numId w:val="6"/>
      </w:numPr>
      <w:tabs>
        <w:tab w:val="clear" w:pos="0"/>
      </w:tabs>
      <w:spacing w:after="240"/>
    </w:pPr>
  </w:style>
  <w:style w:type="paragraph" w:customStyle="1" w:styleId="NumList">
    <w:name w:val="*NumList&gt;"/>
    <w:aliases w:val="nl&gt;"/>
    <w:basedOn w:val="Normal"/>
    <w:uiPriority w:val="99"/>
    <w:rsid w:val="00757ED2"/>
    <w:pPr>
      <w:numPr>
        <w:numId w:val="7"/>
      </w:numPr>
      <w:tabs>
        <w:tab w:val="clear" w:pos="720"/>
      </w:tabs>
      <w:spacing w:after="240"/>
    </w:pPr>
  </w:style>
  <w:style w:type="paragraph" w:customStyle="1" w:styleId="NumList0">
    <w:name w:val="*NumList&gt;&gt;"/>
    <w:aliases w:val="nl&gt;&gt;"/>
    <w:basedOn w:val="Normal"/>
    <w:uiPriority w:val="99"/>
    <w:rsid w:val="00757ED2"/>
    <w:pPr>
      <w:numPr>
        <w:numId w:val="8"/>
      </w:numPr>
      <w:tabs>
        <w:tab w:val="clear" w:pos="0"/>
      </w:tabs>
      <w:spacing w:after="240"/>
    </w:pPr>
  </w:style>
  <w:style w:type="paragraph" w:customStyle="1" w:styleId="NumListDbl">
    <w:name w:val="*NumListDbl"/>
    <w:aliases w:val="nld"/>
    <w:basedOn w:val="Normal"/>
    <w:uiPriority w:val="99"/>
    <w:rsid w:val="00757ED2"/>
    <w:pPr>
      <w:numPr>
        <w:numId w:val="9"/>
      </w:numPr>
      <w:tabs>
        <w:tab w:val="clear" w:pos="0"/>
      </w:tabs>
      <w:spacing w:line="480" w:lineRule="auto"/>
    </w:pPr>
  </w:style>
  <w:style w:type="paragraph" w:customStyle="1" w:styleId="NumListDbl0">
    <w:name w:val="*NumListDbl&gt;"/>
    <w:aliases w:val="nld&gt;"/>
    <w:basedOn w:val="Normal"/>
    <w:uiPriority w:val="99"/>
    <w:rsid w:val="00757ED2"/>
    <w:pPr>
      <w:numPr>
        <w:numId w:val="10"/>
      </w:numPr>
      <w:tabs>
        <w:tab w:val="clear" w:pos="720"/>
      </w:tabs>
      <w:spacing w:line="480" w:lineRule="auto"/>
    </w:pPr>
  </w:style>
  <w:style w:type="paragraph" w:customStyle="1" w:styleId="NumListDbl1">
    <w:name w:val="*NumListDbl&gt;&gt;"/>
    <w:aliases w:val="nld&gt;&gt;"/>
    <w:basedOn w:val="Normal"/>
    <w:uiPriority w:val="99"/>
    <w:rsid w:val="00757ED2"/>
    <w:pPr>
      <w:numPr>
        <w:numId w:val="11"/>
      </w:numPr>
      <w:tabs>
        <w:tab w:val="clear" w:pos="720"/>
      </w:tabs>
      <w:spacing w:line="480" w:lineRule="auto"/>
    </w:pPr>
  </w:style>
  <w:style w:type="paragraph" w:customStyle="1" w:styleId="NumListHang">
    <w:name w:val="*NumListHang"/>
    <w:aliases w:val="nlh"/>
    <w:basedOn w:val="Normal"/>
    <w:uiPriority w:val="99"/>
    <w:rsid w:val="00757ED2"/>
    <w:pPr>
      <w:numPr>
        <w:numId w:val="12"/>
      </w:numPr>
      <w:tabs>
        <w:tab w:val="clear" w:pos="720"/>
      </w:tabs>
      <w:spacing w:after="240"/>
    </w:pPr>
  </w:style>
  <w:style w:type="paragraph" w:customStyle="1" w:styleId="NumListHang1">
    <w:name w:val="*NumListHang1"/>
    <w:aliases w:val="nlh1"/>
    <w:basedOn w:val="Normal"/>
    <w:uiPriority w:val="99"/>
    <w:rsid w:val="00757ED2"/>
    <w:pPr>
      <w:numPr>
        <w:numId w:val="13"/>
      </w:numPr>
      <w:spacing w:after="240"/>
    </w:pPr>
  </w:style>
  <w:style w:type="paragraph" w:customStyle="1" w:styleId="NumListHang1Dbl">
    <w:name w:val="*NumListHang1Dbl"/>
    <w:aliases w:val="nlh1d"/>
    <w:basedOn w:val="Normal"/>
    <w:uiPriority w:val="99"/>
    <w:rsid w:val="00757ED2"/>
    <w:pPr>
      <w:numPr>
        <w:numId w:val="14"/>
      </w:numPr>
      <w:spacing w:line="480" w:lineRule="auto"/>
    </w:pPr>
  </w:style>
  <w:style w:type="paragraph" w:customStyle="1" w:styleId="NumListHangDbl">
    <w:name w:val="*NumListHangDbl"/>
    <w:aliases w:val="nlhd"/>
    <w:basedOn w:val="Normal"/>
    <w:uiPriority w:val="99"/>
    <w:rsid w:val="00757ED2"/>
    <w:pPr>
      <w:numPr>
        <w:numId w:val="15"/>
      </w:numPr>
      <w:tabs>
        <w:tab w:val="clear" w:pos="720"/>
      </w:tabs>
      <w:spacing w:line="480" w:lineRule="auto"/>
    </w:pPr>
  </w:style>
  <w:style w:type="paragraph" w:customStyle="1" w:styleId="Quote1">
    <w:name w:val="*Quote1"/>
    <w:aliases w:val="q1"/>
    <w:basedOn w:val="Normal"/>
    <w:uiPriority w:val="99"/>
    <w:rsid w:val="00757ED2"/>
    <w:pPr>
      <w:spacing w:after="240"/>
      <w:ind w:left="720" w:right="720"/>
    </w:pPr>
  </w:style>
  <w:style w:type="paragraph" w:customStyle="1" w:styleId="Quote10">
    <w:name w:val="*Quote1&gt;"/>
    <w:aliases w:val="q1&gt;"/>
    <w:basedOn w:val="Normal"/>
    <w:uiPriority w:val="99"/>
    <w:rsid w:val="00757ED2"/>
    <w:pPr>
      <w:spacing w:after="240"/>
      <w:ind w:left="720" w:right="720" w:firstLine="720"/>
    </w:pPr>
  </w:style>
  <w:style w:type="paragraph" w:customStyle="1" w:styleId="Quote2">
    <w:name w:val="*Quote2"/>
    <w:aliases w:val="q2"/>
    <w:basedOn w:val="Normal"/>
    <w:uiPriority w:val="99"/>
    <w:rsid w:val="00757ED2"/>
    <w:pPr>
      <w:spacing w:after="240"/>
      <w:ind w:left="1440" w:right="1440"/>
    </w:pPr>
  </w:style>
  <w:style w:type="paragraph" w:customStyle="1" w:styleId="Quote20">
    <w:name w:val="*Quote2&gt;"/>
    <w:aliases w:val="q2&gt;"/>
    <w:basedOn w:val="Normal"/>
    <w:uiPriority w:val="99"/>
    <w:rsid w:val="00757ED2"/>
    <w:pPr>
      <w:spacing w:after="240"/>
      <w:ind w:left="1440" w:right="1440" w:firstLine="720"/>
    </w:pPr>
  </w:style>
  <w:style w:type="paragraph" w:customStyle="1" w:styleId="SigBlock">
    <w:name w:val="*Sig Block"/>
    <w:aliases w:val="sg"/>
    <w:basedOn w:val="Normal"/>
    <w:uiPriority w:val="99"/>
    <w:rsid w:val="00757ED2"/>
    <w:pPr>
      <w:keepNext/>
      <w:keepLines/>
      <w:tabs>
        <w:tab w:val="right" w:pos="9360"/>
      </w:tabs>
      <w:spacing w:after="240"/>
      <w:ind w:left="4320"/>
    </w:pPr>
  </w:style>
  <w:style w:type="paragraph" w:customStyle="1" w:styleId="Subtitle">
    <w:name w:val="*Subtitle"/>
    <w:aliases w:val="sub"/>
    <w:basedOn w:val="Normal"/>
    <w:next w:val="BodySingle0"/>
    <w:uiPriority w:val="99"/>
    <w:rsid w:val="00757ED2"/>
    <w:pPr>
      <w:spacing w:after="240"/>
      <w:jc w:val="center"/>
    </w:pPr>
  </w:style>
  <w:style w:type="paragraph" w:customStyle="1" w:styleId="TitleCenterB">
    <w:name w:val="*Title Center B"/>
    <w:aliases w:val="tcb"/>
    <w:basedOn w:val="Normal"/>
    <w:next w:val="BodySingle0"/>
    <w:uiPriority w:val="99"/>
    <w:rsid w:val="00757ED2"/>
    <w:pPr>
      <w:keepNext/>
      <w:keepLines/>
      <w:spacing w:after="240"/>
      <w:jc w:val="center"/>
    </w:pPr>
    <w:rPr>
      <w:b/>
      <w:bCs/>
    </w:rPr>
  </w:style>
  <w:style w:type="paragraph" w:customStyle="1" w:styleId="TitleCenterBU">
    <w:name w:val="*Title Center BU"/>
    <w:aliases w:val="tcbu"/>
    <w:basedOn w:val="Normal"/>
    <w:next w:val="BodySingle0"/>
    <w:uiPriority w:val="99"/>
    <w:rsid w:val="00757ED2"/>
    <w:pPr>
      <w:keepNext/>
      <w:keepLines/>
      <w:spacing w:after="240"/>
      <w:jc w:val="center"/>
    </w:pPr>
    <w:rPr>
      <w:b/>
      <w:bCs/>
      <w:u w:val="single"/>
    </w:rPr>
  </w:style>
  <w:style w:type="paragraph" w:customStyle="1" w:styleId="TitleCenterU">
    <w:name w:val="*Title Center U"/>
    <w:aliases w:val="tcu"/>
    <w:basedOn w:val="Normal"/>
    <w:next w:val="BodySingle0"/>
    <w:uiPriority w:val="99"/>
    <w:rsid w:val="00757ED2"/>
    <w:pPr>
      <w:keepNext/>
      <w:keepLines/>
      <w:spacing w:after="240"/>
      <w:jc w:val="center"/>
    </w:pPr>
    <w:rPr>
      <w:u w:val="single"/>
    </w:rPr>
  </w:style>
  <w:style w:type="paragraph" w:customStyle="1" w:styleId="TitleCenter">
    <w:name w:val="*Title Center"/>
    <w:aliases w:val="tc"/>
    <w:basedOn w:val="Normal"/>
    <w:next w:val="BodySingle0"/>
    <w:uiPriority w:val="99"/>
    <w:rsid w:val="00757ED2"/>
    <w:pPr>
      <w:keepNext/>
      <w:keepLines/>
      <w:spacing w:after="240"/>
      <w:jc w:val="center"/>
    </w:pPr>
  </w:style>
  <w:style w:type="paragraph" w:customStyle="1" w:styleId="TitleLeftB">
    <w:name w:val="*Title Left B"/>
    <w:aliases w:val="tlb"/>
    <w:basedOn w:val="Normal"/>
    <w:next w:val="BodySingle0"/>
    <w:uiPriority w:val="99"/>
    <w:rsid w:val="00757ED2"/>
    <w:pPr>
      <w:keepNext/>
      <w:keepLines/>
      <w:spacing w:after="240"/>
    </w:pPr>
    <w:rPr>
      <w:b/>
      <w:bCs/>
    </w:rPr>
  </w:style>
  <w:style w:type="paragraph" w:customStyle="1" w:styleId="TitleLeftBU">
    <w:name w:val="*Title Left BU"/>
    <w:aliases w:val="tlbu"/>
    <w:basedOn w:val="Normal"/>
    <w:next w:val="BodySingle"/>
    <w:uiPriority w:val="99"/>
    <w:rsid w:val="00757ED2"/>
    <w:pPr>
      <w:keepNext/>
      <w:keepLines/>
      <w:spacing w:after="240"/>
    </w:pPr>
    <w:rPr>
      <w:b/>
      <w:bCs/>
      <w:u w:val="single"/>
    </w:rPr>
  </w:style>
  <w:style w:type="paragraph" w:customStyle="1" w:styleId="TitleLeftU">
    <w:name w:val="*Title Left U"/>
    <w:aliases w:val="tlu"/>
    <w:basedOn w:val="Normal"/>
    <w:next w:val="BodySingle0"/>
    <w:uiPriority w:val="99"/>
    <w:rsid w:val="00757ED2"/>
    <w:pPr>
      <w:keepNext/>
      <w:keepLines/>
      <w:spacing w:after="240"/>
    </w:pPr>
    <w:rPr>
      <w:u w:val="single"/>
    </w:rPr>
  </w:style>
  <w:style w:type="paragraph" w:customStyle="1" w:styleId="TitleLeft">
    <w:name w:val="*Title Left"/>
    <w:aliases w:val="tl"/>
    <w:basedOn w:val="Normal"/>
    <w:next w:val="BodySingle0"/>
    <w:uiPriority w:val="99"/>
    <w:rsid w:val="00757ED2"/>
    <w:pPr>
      <w:keepNext/>
      <w:keepLines/>
      <w:spacing w:after="240"/>
    </w:pPr>
  </w:style>
  <w:style w:type="paragraph" w:styleId="EnvelopeAddress">
    <w:name w:val="envelope address"/>
    <w:basedOn w:val="Normal"/>
    <w:uiPriority w:val="99"/>
    <w:rsid w:val="00757ED2"/>
    <w:pPr>
      <w:framePr w:w="7920" w:h="1980" w:hRule="exact" w:hSpace="180" w:wrap="auto" w:hAnchor="page" w:xAlign="center" w:yAlign="bottom"/>
      <w:ind w:left="2880"/>
    </w:pPr>
  </w:style>
  <w:style w:type="paragraph" w:styleId="EnvelopeReturn">
    <w:name w:val="envelope return"/>
    <w:basedOn w:val="Normal"/>
    <w:uiPriority w:val="99"/>
    <w:rsid w:val="00757ED2"/>
    <w:rPr>
      <w:sz w:val="20"/>
      <w:szCs w:val="20"/>
    </w:rPr>
  </w:style>
  <w:style w:type="paragraph" w:customStyle="1" w:styleId="DefaultParagraphFontCharChar">
    <w:name w:val="Default Paragraph Font Char Char"/>
    <w:aliases w:val="Char Char Char Char"/>
    <w:basedOn w:val="Normal"/>
    <w:uiPriority w:val="99"/>
    <w:rsid w:val="00757ED2"/>
    <w:pPr>
      <w:spacing w:after="160" w:line="240" w:lineRule="exact"/>
      <w:jc w:val="both"/>
    </w:pPr>
    <w:rPr>
      <w:sz w:val="20"/>
      <w:szCs w:val="20"/>
    </w:rPr>
  </w:style>
  <w:style w:type="character" w:styleId="PageNumber">
    <w:name w:val="page number"/>
    <w:basedOn w:val="DefaultParagraphFont"/>
    <w:uiPriority w:val="99"/>
    <w:unhideWhenUsed/>
    <w:rsid w:val="007F3839"/>
    <w:rPr>
      <w:rFonts w:ascii="Adobe Garamond Pro" w:hAnsi="Adobe Garamond Pro"/>
      <w:kern w:val="16"/>
      <w:sz w:val="28"/>
      <w14:ligatures w14:val="standard"/>
      <w14:numForm w14:val="oldStyle"/>
      <w14:numSpacing w14:val="proportional"/>
      <w14:stylisticSets/>
      <w14:cntxtAlts/>
    </w:rPr>
  </w:style>
  <w:style w:type="paragraph" w:styleId="BodyText">
    <w:name w:val="Body Text"/>
    <w:basedOn w:val="Normal"/>
    <w:link w:val="BodyTextChar"/>
    <w:uiPriority w:val="99"/>
    <w:unhideWhenUsed/>
    <w:qFormat/>
    <w:rsid w:val="009B6300"/>
    <w:pPr>
      <w:spacing w:after="200" w:line="560" w:lineRule="exact"/>
      <w:ind w:firstLine="576"/>
      <w:contextualSpacing/>
      <w:jc w:val="both"/>
    </w:pPr>
    <w:rPr>
      <w:rFonts w:eastAsiaTheme="minorEastAsia" w:cs="Times New Roman (Body CS)"/>
    </w:rPr>
  </w:style>
  <w:style w:type="character" w:customStyle="1" w:styleId="BodyTextChar">
    <w:name w:val="Body Text Char"/>
    <w:basedOn w:val="DefaultParagraphFont"/>
    <w:link w:val="BodyText"/>
    <w:uiPriority w:val="99"/>
    <w:rsid w:val="009B6300"/>
    <w:rPr>
      <w:rFonts w:ascii="Adobe Garamond Pro" w:eastAsiaTheme="minorEastAsia" w:hAnsi="Adobe Garamond Pro" w:cs="Times New Roman (Body CS)"/>
      <w:kern w:val="16"/>
      <w:sz w:val="28"/>
      <w:szCs w:val="24"/>
      <w14:ligatures w14:val="standard"/>
      <w14:numForm w14:val="oldStyle"/>
      <w14:numSpacing w14:val="proportional"/>
      <w14:stylisticSets/>
      <w14:cntxtAlts/>
    </w:rPr>
  </w:style>
  <w:style w:type="character" w:customStyle="1" w:styleId="Heading1Char">
    <w:name w:val="Heading 1 Char"/>
    <w:basedOn w:val="DefaultParagraphFont"/>
    <w:link w:val="Heading1"/>
    <w:uiPriority w:val="9"/>
    <w:rsid w:val="003A6090"/>
    <w:rPr>
      <w:rFonts w:ascii="Adobe Garamond Pro Bold" w:eastAsiaTheme="majorEastAsia" w:hAnsi="Adobe Garamond Pro Bold" w:cstheme="majorBidi"/>
      <w:b/>
      <w:bCs/>
      <w:caps/>
      <w:kern w:val="16"/>
      <w:sz w:val="28"/>
      <w:szCs w:val="28"/>
      <w14:ligatures w14:val="standard"/>
      <w14:numForm w14:val="oldStyle"/>
      <w14:numSpacing w14:val="proportional"/>
      <w14:cntxtAlts/>
    </w:rPr>
  </w:style>
  <w:style w:type="character" w:customStyle="1" w:styleId="Heading2Char">
    <w:name w:val="Heading 2 Char"/>
    <w:basedOn w:val="DefaultParagraphFont"/>
    <w:link w:val="Heading2"/>
    <w:uiPriority w:val="9"/>
    <w:rsid w:val="00620589"/>
    <w:rPr>
      <w:rFonts w:ascii="Adobe Garamond Pro Bold" w:hAnsi="Adobe Garamond Pro Bold"/>
      <w:b/>
      <w:bCs/>
      <w:kern w:val="16"/>
      <w:sz w:val="28"/>
      <w:szCs w:val="28"/>
      <w14:ligatures w14:val="standard"/>
      <w14:numForm w14:val="oldStyle"/>
      <w14:numSpacing w14:val="proportional"/>
      <w14:cntxtAlts/>
    </w:rPr>
  </w:style>
  <w:style w:type="paragraph" w:styleId="TOCHeading">
    <w:name w:val="TOC Heading"/>
    <w:basedOn w:val="Heading1"/>
    <w:next w:val="Normal"/>
    <w:uiPriority w:val="39"/>
    <w:unhideWhenUsed/>
    <w:qFormat/>
    <w:rsid w:val="00FC36C4"/>
    <w:pPr>
      <w:spacing w:before="240" w:after="0" w:line="259" w:lineRule="auto"/>
      <w:jc w:val="left"/>
      <w:outlineLvl w:val="9"/>
    </w:pPr>
    <w:rPr>
      <w:rFonts w:asciiTheme="majorHAnsi" w:hAnsiTheme="majorHAnsi"/>
      <w:b w:val="0"/>
      <w:color w:val="365F91" w:themeColor="accent1" w:themeShade="BF"/>
      <w:sz w:val="32"/>
      <w:szCs w:val="32"/>
    </w:rPr>
  </w:style>
  <w:style w:type="paragraph" w:styleId="TOC2">
    <w:name w:val="toc 2"/>
    <w:next w:val="Normal"/>
    <w:autoRedefine/>
    <w:uiPriority w:val="39"/>
    <w:unhideWhenUsed/>
    <w:rsid w:val="006B1D5F"/>
    <w:pPr>
      <w:spacing w:before="120"/>
      <w:ind w:left="280"/>
    </w:pPr>
    <w:rPr>
      <w:rFonts w:asciiTheme="minorHAnsi" w:hAnsiTheme="minorHAnsi" w:cstheme="minorHAnsi"/>
      <w:i/>
      <w:iCs/>
      <w:kern w:val="16"/>
      <w:sz w:val="20"/>
      <w:szCs w:val="20"/>
      <w14:ligatures w14:val="standard"/>
      <w14:numForm w14:val="oldStyle"/>
      <w14:numSpacing w14:val="proportional"/>
      <w14:cntxtAlts/>
    </w:rPr>
  </w:style>
  <w:style w:type="paragraph" w:styleId="TOC1">
    <w:name w:val="toc 1"/>
    <w:next w:val="Normal"/>
    <w:autoRedefine/>
    <w:uiPriority w:val="39"/>
    <w:unhideWhenUsed/>
    <w:rsid w:val="00FC36C4"/>
    <w:pPr>
      <w:spacing w:before="240" w:after="120"/>
    </w:pPr>
    <w:rPr>
      <w:rFonts w:asciiTheme="minorHAnsi" w:hAnsiTheme="minorHAnsi" w:cstheme="minorHAnsi"/>
      <w:b/>
      <w:bCs/>
      <w:kern w:val="16"/>
      <w:sz w:val="20"/>
      <w:szCs w:val="20"/>
      <w14:ligatures w14:val="standard"/>
      <w14:numForm w14:val="oldStyle"/>
      <w14:numSpacing w14:val="proportional"/>
      <w14:cntxtAlts/>
    </w:rPr>
  </w:style>
  <w:style w:type="paragraph" w:styleId="TOC3">
    <w:name w:val="toc 3"/>
    <w:next w:val="Normal"/>
    <w:autoRedefine/>
    <w:uiPriority w:val="39"/>
    <w:unhideWhenUsed/>
    <w:rsid w:val="00F54DA0"/>
    <w:pPr>
      <w:ind w:left="560"/>
    </w:pPr>
    <w:rPr>
      <w:rFonts w:asciiTheme="minorHAnsi" w:hAnsiTheme="minorHAnsi" w:cstheme="minorHAnsi"/>
      <w:kern w:val="16"/>
      <w:sz w:val="20"/>
      <w:szCs w:val="20"/>
      <w14:ligatures w14:val="standard"/>
      <w14:numForm w14:val="oldStyle"/>
      <w14:numSpacing w14:val="proportional"/>
      <w14:cntxtAlts/>
    </w:rPr>
  </w:style>
  <w:style w:type="character" w:styleId="Hyperlink">
    <w:name w:val="Hyperlink"/>
    <w:basedOn w:val="DefaultParagraphFont"/>
    <w:uiPriority w:val="99"/>
    <w:unhideWhenUsed/>
    <w:rsid w:val="00C5244A"/>
    <w:rPr>
      <w:rFonts w:ascii="Adobe Garamond Pro" w:hAnsi="Adobe Garamond Pro"/>
      <w:color w:val="0000FF" w:themeColor="hyperlink"/>
      <w:kern w:val="16"/>
      <w:sz w:val="28"/>
      <w:u w:val="single"/>
      <w14:ligatures w14:val="standard"/>
      <w14:numForm w14:val="oldStyle"/>
      <w14:numSpacing w14:val="proportional"/>
      <w14:stylisticSets/>
      <w14:cntxtAlts/>
    </w:rPr>
  </w:style>
  <w:style w:type="paragraph" w:styleId="TOAHeading">
    <w:name w:val="toa heading"/>
    <w:basedOn w:val="Normal"/>
    <w:next w:val="Normal"/>
    <w:uiPriority w:val="99"/>
    <w:unhideWhenUsed/>
    <w:rsid w:val="00FC36C4"/>
    <w:pPr>
      <w:spacing w:before="120" w:after="240"/>
    </w:pPr>
    <w:rPr>
      <w:rFonts w:ascii="Baskerville" w:eastAsiaTheme="majorEastAsia" w:hAnsi="Baskerville" w:cstheme="majorBidi"/>
      <w:b/>
      <w:bCs/>
      <w:lang w:eastAsia="ja-JP"/>
    </w:rPr>
  </w:style>
  <w:style w:type="paragraph" w:styleId="TableofAuthorities">
    <w:name w:val="table of authorities"/>
    <w:basedOn w:val="Normal"/>
    <w:next w:val="Normal"/>
    <w:uiPriority w:val="99"/>
    <w:unhideWhenUsed/>
    <w:rsid w:val="00FC36C4"/>
    <w:pPr>
      <w:spacing w:after="240"/>
      <w:ind w:left="274" w:right="1440" w:hanging="274"/>
    </w:pPr>
    <w:rPr>
      <w:rFonts w:ascii="Baskerville" w:eastAsiaTheme="minorEastAsia" w:hAnsi="Baskerville" w:cstheme="minorBidi"/>
      <w:lang w:eastAsia="ja-JP"/>
    </w:rPr>
  </w:style>
  <w:style w:type="paragraph" w:styleId="TOC4">
    <w:name w:val="toc 4"/>
    <w:next w:val="Normal"/>
    <w:autoRedefine/>
    <w:uiPriority w:val="39"/>
    <w:unhideWhenUsed/>
    <w:rsid w:val="00B23C67"/>
    <w:pPr>
      <w:ind w:left="840"/>
    </w:pPr>
    <w:rPr>
      <w:rFonts w:asciiTheme="minorHAnsi" w:hAnsiTheme="minorHAnsi" w:cstheme="minorHAnsi"/>
      <w:kern w:val="16"/>
      <w:sz w:val="20"/>
      <w:szCs w:val="20"/>
      <w14:ligatures w14:val="standard"/>
      <w14:numForm w14:val="oldStyle"/>
      <w14:numSpacing w14:val="proportional"/>
      <w14:cntxtAlts/>
    </w:rPr>
  </w:style>
  <w:style w:type="paragraph" w:styleId="TOC5">
    <w:name w:val="toc 5"/>
    <w:basedOn w:val="Normal"/>
    <w:next w:val="Normal"/>
    <w:autoRedefine/>
    <w:uiPriority w:val="39"/>
    <w:unhideWhenUsed/>
    <w:rsid w:val="00FC36C4"/>
    <w:pPr>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FC36C4"/>
    <w:pPr>
      <w:ind w:left="1400"/>
    </w:pPr>
    <w:rPr>
      <w:rFonts w:asciiTheme="minorHAnsi" w:hAnsiTheme="minorHAnsi" w:cstheme="minorHAnsi"/>
      <w:sz w:val="20"/>
      <w:szCs w:val="20"/>
    </w:rPr>
  </w:style>
  <w:style w:type="paragraph" w:styleId="TOC7">
    <w:name w:val="toc 7"/>
    <w:basedOn w:val="Normal"/>
    <w:next w:val="Normal"/>
    <w:autoRedefine/>
    <w:uiPriority w:val="39"/>
    <w:unhideWhenUsed/>
    <w:rsid w:val="00FC36C4"/>
    <w:pPr>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FC36C4"/>
    <w:pPr>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FC36C4"/>
    <w:pPr>
      <w:ind w:left="2240"/>
    </w:pPr>
    <w:rPr>
      <w:rFonts w:asciiTheme="minorHAnsi" w:hAnsiTheme="minorHAnsi" w:cstheme="minorHAnsi"/>
      <w:sz w:val="20"/>
      <w:szCs w:val="20"/>
    </w:rPr>
  </w:style>
  <w:style w:type="paragraph" w:customStyle="1" w:styleId="TableofContents">
    <w:name w:val="Table of Contents"/>
    <w:basedOn w:val="Normal"/>
    <w:rsid w:val="00FC36C4"/>
    <w:pPr>
      <w:tabs>
        <w:tab w:val="left" w:pos="720"/>
        <w:tab w:val="right" w:leader="dot" w:pos="9360"/>
        <w:tab w:val="left" w:pos="10800"/>
      </w:tabs>
      <w:autoSpaceDE w:val="0"/>
      <w:autoSpaceDN w:val="0"/>
      <w:adjustRightInd w:val="0"/>
      <w:ind w:left="1080" w:right="792" w:hanging="1080"/>
    </w:pPr>
    <w:rPr>
      <w:rFonts w:ascii="Baskerville" w:eastAsiaTheme="minorEastAsia" w:hAnsi="Baskerville" w:cs="Baskerville"/>
      <w:szCs w:val="28"/>
      <w:lang w:eastAsia="ja-JP"/>
    </w:rPr>
  </w:style>
  <w:style w:type="paragraph" w:customStyle="1" w:styleId="TableofContents2">
    <w:name w:val="Table of Contents 2"/>
    <w:basedOn w:val="Normal"/>
    <w:rsid w:val="00FC36C4"/>
    <w:pPr>
      <w:tabs>
        <w:tab w:val="left" w:pos="1440"/>
        <w:tab w:val="left" w:pos="1872"/>
        <w:tab w:val="right" w:leader="dot" w:pos="9360"/>
      </w:tabs>
      <w:autoSpaceDE w:val="0"/>
      <w:autoSpaceDN w:val="0"/>
      <w:adjustRightInd w:val="0"/>
      <w:ind w:left="1872" w:right="792" w:hanging="1872"/>
    </w:pPr>
    <w:rPr>
      <w:rFonts w:ascii="Baskerville" w:eastAsiaTheme="minorEastAsia" w:hAnsi="Baskerville" w:cstheme="minorBidi"/>
      <w:szCs w:val="28"/>
      <w:lang w:eastAsia="ja-JP"/>
    </w:rPr>
  </w:style>
  <w:style w:type="character" w:customStyle="1" w:styleId="Heading3Char">
    <w:name w:val="Heading 3 Char"/>
    <w:basedOn w:val="DefaultParagraphFont"/>
    <w:link w:val="Heading3"/>
    <w:uiPriority w:val="9"/>
    <w:rsid w:val="00620589"/>
    <w:rPr>
      <w:rFonts w:ascii="Adobe Garamond Pro Bold" w:hAnsi="Adobe Garamond Pro Bold"/>
      <w:b/>
      <w:bCs/>
      <w:kern w:val="16"/>
      <w:sz w:val="28"/>
      <w:szCs w:val="28"/>
      <w14:ligatures w14:val="standard"/>
      <w14:numForm w14:val="oldStyle"/>
      <w14:numSpacing w14:val="proportional"/>
      <w14:cntxtAlts/>
    </w:rPr>
  </w:style>
  <w:style w:type="character" w:customStyle="1" w:styleId="Heading4Char">
    <w:name w:val="Heading 4 Char"/>
    <w:basedOn w:val="DefaultParagraphFont"/>
    <w:link w:val="Heading4"/>
    <w:uiPriority w:val="9"/>
    <w:rsid w:val="00FC3399"/>
    <w:rPr>
      <w:rFonts w:ascii="Adobe Garamond Pro Bold" w:hAnsi="Adobe Garamond Pro Bold"/>
      <w:b/>
      <w:kern w:val="16"/>
      <w:sz w:val="28"/>
      <w:szCs w:val="28"/>
      <w14:ligatures w14:val="standard"/>
      <w14:numForm w14:val="oldStyle"/>
      <w14:numSpacing w14:val="proportional"/>
      <w14:cntxtAlts/>
    </w:rPr>
  </w:style>
  <w:style w:type="character" w:customStyle="1" w:styleId="Heading5Char">
    <w:name w:val="Heading 5 Char"/>
    <w:basedOn w:val="DefaultParagraphFont"/>
    <w:link w:val="Heading5"/>
    <w:uiPriority w:val="9"/>
    <w:rsid w:val="00FC36C4"/>
    <w:rPr>
      <w:rFonts w:ascii="Baskerville" w:eastAsiaTheme="majorEastAsia" w:hAnsi="Baskerville" w:cstheme="majorBidi"/>
      <w:b/>
      <w:bCs/>
      <w:kern w:val="16"/>
      <w:sz w:val="28"/>
      <w:szCs w:val="28"/>
      <w14:ligatures w14:val="standard"/>
      <w14:numForm w14:val="oldStyle"/>
      <w14:numSpacing w14:val="proportional"/>
      <w14:stylisticSets/>
      <w14:cntxtAlts/>
    </w:rPr>
  </w:style>
  <w:style w:type="character" w:customStyle="1" w:styleId="Heading6Char">
    <w:name w:val="Heading 6 Char"/>
    <w:basedOn w:val="DefaultParagraphFont"/>
    <w:link w:val="Heading6"/>
    <w:uiPriority w:val="9"/>
    <w:rsid w:val="00FC36C4"/>
    <w:rPr>
      <w:rFonts w:ascii="Baskerville" w:eastAsiaTheme="majorEastAsia" w:hAnsi="Baskerville" w:cstheme="majorBidi"/>
      <w:b/>
      <w:bCs/>
      <w:kern w:val="16"/>
      <w:sz w:val="28"/>
      <w:szCs w:val="28"/>
      <w:u w:val="single"/>
      <w14:ligatures w14:val="standard"/>
      <w14:numForm w14:val="oldStyle"/>
      <w14:numSpacing w14:val="proportional"/>
      <w14:stylisticSets/>
      <w14:cntxtAlts/>
    </w:rPr>
  </w:style>
  <w:style w:type="character" w:customStyle="1" w:styleId="Heading7Char">
    <w:name w:val="Heading 7 Char"/>
    <w:basedOn w:val="DefaultParagraphFont"/>
    <w:link w:val="Heading7"/>
    <w:uiPriority w:val="9"/>
    <w:semiHidden/>
    <w:rsid w:val="00FC36C4"/>
    <w:rPr>
      <w:rFonts w:asciiTheme="majorHAnsi" w:eastAsiaTheme="majorEastAsia" w:hAnsiTheme="majorHAnsi" w:cstheme="majorBidi"/>
      <w:i/>
      <w:iCs/>
      <w:color w:val="404040" w:themeColor="text1" w:themeTint="BF"/>
      <w:kern w:val="16"/>
      <w:sz w:val="28"/>
      <w:szCs w:val="24"/>
      <w14:ligatures w14:val="standard"/>
      <w14:numForm w14:val="oldStyle"/>
      <w14:numSpacing w14:val="proportional"/>
      <w14:stylisticSets/>
      <w14:cntxtAlts/>
    </w:rPr>
  </w:style>
  <w:style w:type="character" w:customStyle="1" w:styleId="Heading8Char">
    <w:name w:val="Heading 8 Char"/>
    <w:basedOn w:val="DefaultParagraphFont"/>
    <w:link w:val="Heading8"/>
    <w:uiPriority w:val="9"/>
    <w:semiHidden/>
    <w:rsid w:val="00FC36C4"/>
    <w:rPr>
      <w:rFonts w:asciiTheme="majorHAnsi" w:eastAsiaTheme="majorEastAsia" w:hAnsiTheme="majorHAnsi" w:cstheme="majorBidi"/>
      <w:color w:val="404040" w:themeColor="text1" w:themeTint="BF"/>
      <w:kern w:val="16"/>
      <w:sz w:val="20"/>
      <w:szCs w:val="20"/>
      <w14:ligatures w14:val="standard"/>
      <w14:numForm w14:val="oldStyle"/>
      <w14:numSpacing w14:val="proportional"/>
      <w14:stylisticSets/>
      <w14:cntxtAlts/>
    </w:rPr>
  </w:style>
  <w:style w:type="character" w:customStyle="1" w:styleId="counderline">
    <w:name w:val="co_underline"/>
    <w:basedOn w:val="DefaultParagraphFont"/>
    <w:rsid w:val="00F87172"/>
    <w:rPr>
      <w:rFonts w:ascii="Adobe Garamond Pro" w:hAnsi="Adobe Garamond Pro"/>
      <w:kern w:val="16"/>
      <w:sz w:val="28"/>
      <w14:ligatures w14:val="standard"/>
      <w14:numForm w14:val="oldStyle"/>
      <w14:numSpacing w14:val="proportional"/>
      <w14:stylisticSets/>
      <w14:cntxtAlts/>
    </w:rPr>
  </w:style>
  <w:style w:type="character" w:styleId="CommentReference">
    <w:name w:val="annotation reference"/>
    <w:basedOn w:val="DefaultParagraphFont"/>
    <w:uiPriority w:val="99"/>
    <w:unhideWhenUsed/>
    <w:rsid w:val="00C81C0F"/>
    <w:rPr>
      <w:rFonts w:ascii="Adobe Garamond Pro" w:hAnsi="Adobe Garamond Pro"/>
      <w:kern w:val="16"/>
      <w:sz w:val="18"/>
      <w:szCs w:val="18"/>
      <w14:ligatures w14:val="standard"/>
      <w14:numForm w14:val="oldStyle"/>
      <w14:numSpacing w14:val="proportional"/>
      <w14:stylisticSets/>
      <w14:cntxtAlts/>
    </w:rPr>
  </w:style>
  <w:style w:type="paragraph" w:styleId="CommentText">
    <w:name w:val="annotation text"/>
    <w:basedOn w:val="Normal"/>
    <w:link w:val="CommentTextChar"/>
    <w:uiPriority w:val="99"/>
    <w:unhideWhenUsed/>
    <w:rsid w:val="00C81C0F"/>
  </w:style>
  <w:style w:type="character" w:customStyle="1" w:styleId="CommentTextChar">
    <w:name w:val="Comment Text Char"/>
    <w:basedOn w:val="DefaultParagraphFont"/>
    <w:link w:val="CommentText"/>
    <w:uiPriority w:val="99"/>
    <w:rsid w:val="00C81C0F"/>
    <w:rPr>
      <w:rFonts w:ascii="Times New Roman" w:hAnsi="Times New Roman"/>
      <w:kern w:val="16"/>
      <w:sz w:val="24"/>
      <w:szCs w:val="24"/>
      <w14:ligatures w14:val="standard"/>
      <w14:numForm w14:val="oldStyle"/>
      <w14:numSpacing w14:val="proportional"/>
      <w14:stylisticSets/>
      <w14:cntxtAlts/>
    </w:rPr>
  </w:style>
  <w:style w:type="paragraph" w:styleId="CommentSubject">
    <w:name w:val="annotation subject"/>
    <w:basedOn w:val="CommentText"/>
    <w:next w:val="CommentText"/>
    <w:link w:val="CommentSubjectChar"/>
    <w:uiPriority w:val="99"/>
    <w:semiHidden/>
    <w:unhideWhenUsed/>
    <w:rsid w:val="00C81C0F"/>
    <w:rPr>
      <w:b/>
      <w:bCs/>
      <w:sz w:val="20"/>
      <w:szCs w:val="20"/>
    </w:rPr>
  </w:style>
  <w:style w:type="character" w:customStyle="1" w:styleId="CommentSubjectChar">
    <w:name w:val="Comment Subject Char"/>
    <w:basedOn w:val="CommentTextChar"/>
    <w:link w:val="CommentSubject"/>
    <w:uiPriority w:val="99"/>
    <w:semiHidden/>
    <w:rsid w:val="00C81C0F"/>
    <w:rPr>
      <w:rFonts w:ascii="Times New Roman" w:hAnsi="Times New Roman"/>
      <w:b/>
      <w:bCs/>
      <w:kern w:val="16"/>
      <w:sz w:val="20"/>
      <w:szCs w:val="20"/>
      <w14:ligatures w14:val="standard"/>
      <w14:numForm w14:val="oldStyle"/>
      <w14:numSpacing w14:val="proportional"/>
      <w14:stylisticSets/>
      <w14:cntxtAlts/>
    </w:rPr>
  </w:style>
  <w:style w:type="paragraph" w:customStyle="1" w:styleId="Default">
    <w:name w:val="Default"/>
    <w:rsid w:val="00991D53"/>
    <w:pPr>
      <w:autoSpaceDE w:val="0"/>
      <w:autoSpaceDN w:val="0"/>
      <w:adjustRightInd w:val="0"/>
    </w:pPr>
    <w:rPr>
      <w:rFonts w:ascii="Times New Roman" w:eastAsiaTheme="minorHAnsi" w:hAnsi="Times New Roman"/>
      <w:color w:val="000000"/>
      <w:sz w:val="24"/>
      <w:szCs w:val="24"/>
    </w:rPr>
  </w:style>
  <w:style w:type="character" w:styleId="Emphasis">
    <w:name w:val="Emphasis"/>
    <w:basedOn w:val="DefaultParagraphFont"/>
    <w:uiPriority w:val="20"/>
    <w:qFormat/>
    <w:rsid w:val="00D303FF"/>
    <w:rPr>
      <w:rFonts w:ascii="Adobe Garamond Pro" w:hAnsi="Adobe Garamond Pro"/>
      <w:i/>
      <w:iCs/>
      <w:kern w:val="16"/>
      <w:sz w:val="28"/>
      <w14:ligatures w14:val="standard"/>
      <w14:numForm w14:val="oldStyle"/>
      <w14:numSpacing w14:val="proportional"/>
      <w14:stylisticSets/>
      <w14:cntxtAlts/>
    </w:rPr>
  </w:style>
  <w:style w:type="paragraph" w:customStyle="1" w:styleId="BodyText1">
    <w:name w:val="Body Text 1"/>
    <w:basedOn w:val="Normal"/>
    <w:qFormat/>
    <w:rsid w:val="00A05EFD"/>
    <w:pPr>
      <w:spacing w:line="480" w:lineRule="auto"/>
      <w:ind w:firstLine="720"/>
      <w:jc w:val="both"/>
    </w:pPr>
    <w:rPr>
      <w:rFonts w:ascii="Baskerville" w:eastAsiaTheme="minorEastAsia" w:hAnsi="Baskerville" w:cs="Baskerville"/>
      <w:szCs w:val="28"/>
      <w:lang w:eastAsia="ja-JP"/>
    </w:rPr>
  </w:style>
  <w:style w:type="paragraph" w:styleId="DocumentMap">
    <w:name w:val="Document Map"/>
    <w:basedOn w:val="Normal"/>
    <w:link w:val="DocumentMapChar"/>
    <w:uiPriority w:val="99"/>
    <w:semiHidden/>
    <w:unhideWhenUsed/>
    <w:rsid w:val="000A6A2A"/>
    <w:rPr>
      <w:rFonts w:ascii="Lucida Grande" w:hAnsi="Lucida Grande" w:cs="Lucida Grande"/>
    </w:rPr>
  </w:style>
  <w:style w:type="character" w:customStyle="1" w:styleId="DocumentMapChar">
    <w:name w:val="Document Map Char"/>
    <w:basedOn w:val="DefaultParagraphFont"/>
    <w:link w:val="DocumentMap"/>
    <w:uiPriority w:val="99"/>
    <w:semiHidden/>
    <w:rsid w:val="000A6A2A"/>
    <w:rPr>
      <w:rFonts w:ascii="Lucida Grande" w:hAnsi="Lucida Grande" w:cs="Lucida Grande"/>
      <w:kern w:val="16"/>
      <w:sz w:val="24"/>
      <w:szCs w:val="24"/>
      <w14:ligatures w14:val="standard"/>
      <w14:numForm w14:val="oldStyle"/>
      <w14:numSpacing w14:val="proportional"/>
      <w14:stylisticSets/>
      <w14:cntxtAlts/>
    </w:rPr>
  </w:style>
  <w:style w:type="paragraph" w:styleId="Revision">
    <w:name w:val="Revision"/>
    <w:hidden/>
    <w:uiPriority w:val="99"/>
    <w:semiHidden/>
    <w:rsid w:val="00CC0EF7"/>
    <w:rPr>
      <w:rFonts w:ascii="Times New Roman" w:hAnsi="Times New Roman"/>
      <w:sz w:val="24"/>
      <w:szCs w:val="24"/>
    </w:rPr>
  </w:style>
  <w:style w:type="paragraph" w:customStyle="1" w:styleId="Text1">
    <w:name w:val="Text 1"/>
    <w:basedOn w:val="Normal"/>
    <w:qFormat/>
    <w:rsid w:val="006047E5"/>
    <w:pPr>
      <w:spacing w:line="480" w:lineRule="auto"/>
      <w:ind w:firstLine="720"/>
    </w:pPr>
    <w:rPr>
      <w:rFonts w:ascii="Book Antiqua" w:eastAsia="Times" w:hAnsi="Book Antiqua"/>
    </w:rPr>
  </w:style>
  <w:style w:type="paragraph" w:customStyle="1" w:styleId="Indent11">
    <w:name w:val="Indent 1"/>
    <w:basedOn w:val="Normal"/>
    <w:next w:val="Text1"/>
    <w:qFormat/>
    <w:rsid w:val="006047E5"/>
    <w:pPr>
      <w:spacing w:after="240"/>
      <w:ind w:left="720"/>
    </w:pPr>
    <w:rPr>
      <w:rFonts w:ascii="Book Antiqua" w:eastAsia="Times New Roman" w:hAnsi="Book Antiqua"/>
    </w:rPr>
  </w:style>
  <w:style w:type="character" w:customStyle="1" w:styleId="apple-converted-space">
    <w:name w:val="apple-converted-space"/>
    <w:basedOn w:val="DefaultParagraphFont"/>
    <w:rsid w:val="006047E5"/>
    <w:rPr>
      <w:rFonts w:ascii="Adobe Garamond Pro" w:hAnsi="Adobe Garamond Pro"/>
      <w:kern w:val="16"/>
      <w:sz w:val="28"/>
      <w14:ligatures w14:val="standard"/>
      <w14:numForm w14:val="oldStyle"/>
      <w14:numSpacing w14:val="proportional"/>
      <w14:stylisticSets/>
      <w14:cntxtAlts/>
    </w:rPr>
  </w:style>
  <w:style w:type="character" w:styleId="UnresolvedMention">
    <w:name w:val="Unresolved Mention"/>
    <w:basedOn w:val="DefaultParagraphFont"/>
    <w:uiPriority w:val="99"/>
    <w:semiHidden/>
    <w:unhideWhenUsed/>
    <w:rsid w:val="00041FEE"/>
    <w:rPr>
      <w:rFonts w:ascii="Adobe Garamond Pro" w:hAnsi="Adobe Garamond Pro"/>
      <w:color w:val="605E5C"/>
      <w:kern w:val="16"/>
      <w:sz w:val="28"/>
      <w:shd w:val="clear" w:color="auto" w:fill="E1DFDD"/>
      <w14:ligatures w14:val="standard"/>
      <w14:numForm w14:val="oldStyle"/>
      <w14:numSpacing w14:val="proportional"/>
      <w14:stylisticSets/>
      <w14:cntxtAlts/>
    </w:rPr>
  </w:style>
  <w:style w:type="table" w:styleId="TableGrid">
    <w:name w:val="Table Grid"/>
    <w:basedOn w:val="TableNormal"/>
    <w:uiPriority w:val="39"/>
    <w:rsid w:val="00C9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CaseNumber">
    <w:name w:val="Cover - Case Number"/>
    <w:basedOn w:val="Normal"/>
    <w:next w:val="Cover-Court"/>
    <w:rsid w:val="00C94541"/>
    <w:pPr>
      <w:pBdr>
        <w:bottom w:val="thinThickSmallGap" w:sz="24" w:space="1" w:color="auto"/>
      </w:pBdr>
      <w:spacing w:after="120"/>
      <w:jc w:val="center"/>
    </w:pPr>
    <w:rPr>
      <w:rFonts w:ascii="Baskerville" w:eastAsia="Times New Roman" w:hAnsi="Baskerville"/>
      <w:b/>
    </w:rPr>
  </w:style>
  <w:style w:type="paragraph" w:customStyle="1" w:styleId="Cover-Court">
    <w:name w:val="Cover - Court"/>
    <w:basedOn w:val="Normal"/>
    <w:rsid w:val="00C94541"/>
    <w:pPr>
      <w:spacing w:after="360"/>
      <w:jc w:val="center"/>
    </w:pPr>
    <w:rPr>
      <w:rFonts w:ascii="Old English Text MT" w:eastAsia="Times New Roman" w:hAnsi="Old English Text MT"/>
      <w:b/>
      <w:sz w:val="40"/>
    </w:rPr>
  </w:style>
  <w:style w:type="paragraph" w:customStyle="1" w:styleId="Cover-Caption">
    <w:name w:val="Cover - Caption"/>
    <w:basedOn w:val="Normal"/>
    <w:rsid w:val="00A60D3B"/>
    <w:pPr>
      <w:pBdr>
        <w:top w:val="single" w:sz="6" w:space="12" w:color="auto"/>
        <w:bottom w:val="single" w:sz="6" w:space="12" w:color="auto"/>
      </w:pBdr>
      <w:spacing w:after="700"/>
      <w:jc w:val="center"/>
    </w:pPr>
    <w:rPr>
      <w:rFonts w:ascii="Baskerville" w:eastAsia="Times New Roman" w:hAnsi="Baskerville"/>
      <w:b/>
      <w:caps/>
    </w:rPr>
  </w:style>
  <w:style w:type="paragraph" w:styleId="NormalWeb">
    <w:name w:val="Normal (Web)"/>
    <w:basedOn w:val="Normal"/>
    <w:uiPriority w:val="99"/>
    <w:semiHidden/>
    <w:unhideWhenUsed/>
    <w:rsid w:val="00786DCE"/>
    <w:pPr>
      <w:spacing w:before="100" w:beforeAutospacing="1" w:after="100" w:afterAutospacing="1"/>
    </w:pPr>
    <w:rPr>
      <w:rFonts w:eastAsia="Times New Roman"/>
    </w:rPr>
  </w:style>
  <w:style w:type="character" w:customStyle="1" w:styleId="Heading9Char">
    <w:name w:val="Heading 9 Char"/>
    <w:basedOn w:val="DefaultParagraphFont"/>
    <w:link w:val="Heading9"/>
    <w:uiPriority w:val="9"/>
    <w:semiHidden/>
    <w:rsid w:val="005C1460"/>
    <w:rPr>
      <w:rFonts w:asciiTheme="majorHAnsi" w:eastAsiaTheme="majorEastAsia" w:hAnsiTheme="majorHAnsi" w:cstheme="majorBidi"/>
      <w:i/>
      <w:iCs/>
      <w:color w:val="272727" w:themeColor="text1" w:themeTint="D8"/>
      <w:kern w:val="16"/>
      <w:sz w:val="21"/>
      <w:szCs w:val="21"/>
      <w14:ligatures w14:val="standard"/>
      <w14:numForm w14:val="oldStyle"/>
      <w14:numSpacing w14:val="proportional"/>
      <w14:stylisticSets/>
      <w14:cntxtAlts/>
    </w:rPr>
  </w:style>
  <w:style w:type="paragraph" w:styleId="NoSpacing">
    <w:name w:val="No Spacing"/>
    <w:uiPriority w:val="1"/>
    <w:qFormat/>
    <w:rsid w:val="005C1460"/>
    <w:pPr>
      <w:ind w:left="2880" w:right="1440"/>
    </w:pPr>
    <w:rPr>
      <w:rFonts w:ascii="Baskerville" w:eastAsiaTheme="minorHAnsi" w:hAnsi="Baskerville" w:cstheme="minorBidi"/>
      <w:sz w:val="24"/>
      <w:szCs w:val="24"/>
    </w:rPr>
  </w:style>
  <w:style w:type="character" w:styleId="FollowedHyperlink">
    <w:name w:val="FollowedHyperlink"/>
    <w:basedOn w:val="DefaultParagraphFont"/>
    <w:uiPriority w:val="99"/>
    <w:semiHidden/>
    <w:unhideWhenUsed/>
    <w:rsid w:val="005C1460"/>
    <w:rPr>
      <w:rFonts w:ascii="Adobe Garamond Pro" w:hAnsi="Adobe Garamond Pro"/>
      <w:color w:val="800080" w:themeColor="followedHyperlink"/>
      <w:kern w:val="16"/>
      <w:sz w:val="28"/>
      <w:u w:val="single"/>
      <w14:ligatures w14:val="standard"/>
      <w14:numForm w14:val="oldStyle"/>
      <w14:numSpacing w14:val="proportional"/>
      <w14:stylisticSets/>
      <w14:cntxtAlts/>
    </w:rPr>
  </w:style>
  <w:style w:type="numbering" w:customStyle="1" w:styleId="CurrentList1">
    <w:name w:val="Current List1"/>
    <w:uiPriority w:val="99"/>
    <w:rsid w:val="005C1460"/>
    <w:pPr>
      <w:numPr>
        <w:numId w:val="16"/>
      </w:numPr>
    </w:pPr>
  </w:style>
  <w:style w:type="numbering" w:customStyle="1" w:styleId="CurrentList2">
    <w:name w:val="Current List2"/>
    <w:uiPriority w:val="99"/>
    <w:rsid w:val="005C1460"/>
    <w:pPr>
      <w:numPr>
        <w:numId w:val="17"/>
      </w:numPr>
    </w:pPr>
  </w:style>
  <w:style w:type="numbering" w:customStyle="1" w:styleId="CurrentList3">
    <w:name w:val="Current List3"/>
    <w:uiPriority w:val="99"/>
    <w:rsid w:val="005C1460"/>
    <w:pPr>
      <w:numPr>
        <w:numId w:val="18"/>
      </w:numPr>
    </w:pPr>
  </w:style>
  <w:style w:type="numbering" w:customStyle="1" w:styleId="CurrentList4">
    <w:name w:val="Current List4"/>
    <w:uiPriority w:val="99"/>
    <w:rsid w:val="005C1460"/>
    <w:pPr>
      <w:numPr>
        <w:numId w:val="19"/>
      </w:numPr>
    </w:pPr>
  </w:style>
  <w:style w:type="numbering" w:customStyle="1" w:styleId="CurrentList5">
    <w:name w:val="Current List5"/>
    <w:uiPriority w:val="99"/>
    <w:rsid w:val="005C1460"/>
    <w:pPr>
      <w:numPr>
        <w:numId w:val="20"/>
      </w:numPr>
    </w:pPr>
  </w:style>
  <w:style w:type="numbering" w:customStyle="1" w:styleId="CurrentList6">
    <w:name w:val="Current List6"/>
    <w:uiPriority w:val="99"/>
    <w:rsid w:val="005C1460"/>
    <w:pPr>
      <w:numPr>
        <w:numId w:val="21"/>
      </w:numPr>
    </w:pPr>
  </w:style>
  <w:style w:type="numbering" w:customStyle="1" w:styleId="CurrentList7">
    <w:name w:val="Current List7"/>
    <w:uiPriority w:val="99"/>
    <w:rsid w:val="005C1460"/>
    <w:pPr>
      <w:numPr>
        <w:numId w:val="22"/>
      </w:numPr>
    </w:pPr>
  </w:style>
  <w:style w:type="paragraph" w:customStyle="1" w:styleId="Notes">
    <w:name w:val="Notes"/>
    <w:basedOn w:val="Normal"/>
    <w:next w:val="Normal"/>
    <w:qFormat/>
    <w:rsid w:val="005C1460"/>
    <w:pPr>
      <w:shd w:val="clear" w:color="auto" w:fill="EEECE1" w:themeFill="background2"/>
    </w:pPr>
    <w:rPr>
      <w:rFonts w:eastAsia="Times New Roman"/>
    </w:rPr>
  </w:style>
  <w:style w:type="numbering" w:customStyle="1" w:styleId="CurrentList8">
    <w:name w:val="Current List8"/>
    <w:uiPriority w:val="99"/>
    <w:rsid w:val="005C1460"/>
    <w:pPr>
      <w:numPr>
        <w:numId w:val="23"/>
      </w:numPr>
    </w:pPr>
  </w:style>
  <w:style w:type="numbering" w:customStyle="1" w:styleId="CurrentList9">
    <w:name w:val="Current List9"/>
    <w:uiPriority w:val="99"/>
    <w:rsid w:val="005C1460"/>
    <w:pPr>
      <w:numPr>
        <w:numId w:val="24"/>
      </w:numPr>
    </w:pPr>
  </w:style>
  <w:style w:type="numbering" w:customStyle="1" w:styleId="CurrentList10">
    <w:name w:val="Current List10"/>
    <w:uiPriority w:val="99"/>
    <w:rsid w:val="005C1460"/>
    <w:pPr>
      <w:numPr>
        <w:numId w:val="25"/>
      </w:numPr>
    </w:pPr>
  </w:style>
  <w:style w:type="numbering" w:customStyle="1" w:styleId="CurrentList11">
    <w:name w:val="Current List11"/>
    <w:uiPriority w:val="99"/>
    <w:rsid w:val="005C1460"/>
    <w:pPr>
      <w:numPr>
        <w:numId w:val="26"/>
      </w:numPr>
    </w:pPr>
  </w:style>
  <w:style w:type="numbering" w:customStyle="1" w:styleId="CurrentList12">
    <w:name w:val="Current List12"/>
    <w:uiPriority w:val="99"/>
    <w:rsid w:val="005C1460"/>
    <w:pPr>
      <w:numPr>
        <w:numId w:val="27"/>
      </w:numPr>
    </w:pPr>
  </w:style>
  <w:style w:type="character" w:styleId="BookTitle">
    <w:name w:val="Book Title"/>
    <w:basedOn w:val="DefaultParagraphFont"/>
    <w:uiPriority w:val="33"/>
    <w:qFormat/>
    <w:rsid w:val="005C1460"/>
    <w:rPr>
      <w:rFonts w:ascii="Adobe Garamond Pro" w:hAnsi="Adobe Garamond Pro"/>
      <w:b/>
      <w:bCs/>
      <w:i/>
      <w:iCs/>
      <w:spacing w:val="5"/>
      <w:kern w:val="16"/>
      <w:sz w:val="28"/>
      <w14:ligatures w14:val="standard"/>
      <w14:numForm w14:val="oldStyle"/>
      <w14:numSpacing w14:val="proportional"/>
      <w14:stylisticSets/>
      <w14:cntxtAlts/>
    </w:rPr>
  </w:style>
  <w:style w:type="numbering" w:customStyle="1" w:styleId="CurrentList13">
    <w:name w:val="Current List13"/>
    <w:uiPriority w:val="99"/>
    <w:rsid w:val="005C1460"/>
    <w:pPr>
      <w:numPr>
        <w:numId w:val="28"/>
      </w:numPr>
    </w:pPr>
  </w:style>
  <w:style w:type="numbering" w:customStyle="1" w:styleId="CurrentList14">
    <w:name w:val="Current List14"/>
    <w:uiPriority w:val="99"/>
    <w:rsid w:val="005C1460"/>
    <w:pPr>
      <w:numPr>
        <w:numId w:val="29"/>
      </w:numPr>
    </w:pPr>
  </w:style>
  <w:style w:type="paragraph" w:styleId="Quote">
    <w:name w:val="Quote"/>
    <w:basedOn w:val="Normal"/>
    <w:next w:val="Normal"/>
    <w:link w:val="QuoteChar"/>
    <w:uiPriority w:val="29"/>
    <w:qFormat/>
    <w:rsid w:val="005C146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5C1460"/>
    <w:rPr>
      <w:rFonts w:ascii="Adobe Garamond Pro" w:eastAsia="Times New Roman" w:hAnsi="Adobe Garamond Pro"/>
      <w:i/>
      <w:iCs/>
      <w:color w:val="404040" w:themeColor="text1" w:themeTint="BF"/>
      <w:kern w:val="16"/>
      <w:sz w:val="28"/>
      <w:szCs w:val="24"/>
      <w14:ligatures w14:val="standard"/>
      <w14:numForm w14:val="oldStyle"/>
      <w14:numSpacing w14:val="proportional"/>
      <w14:stylisticSets/>
      <w14:cntxtAlts/>
    </w:rPr>
  </w:style>
  <w:style w:type="paragraph" w:customStyle="1" w:styleId="BlockQuote">
    <w:name w:val="Block Quote"/>
    <w:basedOn w:val="BodyText"/>
    <w:next w:val="BodyText1"/>
    <w:qFormat/>
    <w:rsid w:val="003A6090"/>
    <w:pPr>
      <w:spacing w:after="80" w:line="336" w:lineRule="exact"/>
      <w:ind w:left="576" w:right="576" w:firstLine="0"/>
    </w:pPr>
  </w:style>
  <w:style w:type="numbering" w:customStyle="1" w:styleId="CurrentList15">
    <w:name w:val="Current List15"/>
    <w:uiPriority w:val="99"/>
    <w:rsid w:val="006507B3"/>
    <w:pPr>
      <w:numPr>
        <w:numId w:val="30"/>
      </w:numPr>
    </w:pPr>
  </w:style>
  <w:style w:type="numbering" w:customStyle="1" w:styleId="CurrentList16">
    <w:name w:val="Current List16"/>
    <w:uiPriority w:val="99"/>
    <w:rsid w:val="006507B3"/>
    <w:pPr>
      <w:numPr>
        <w:numId w:val="31"/>
      </w:numPr>
    </w:pPr>
  </w:style>
  <w:style w:type="numbering" w:customStyle="1" w:styleId="CurrentList17">
    <w:name w:val="Current List17"/>
    <w:uiPriority w:val="99"/>
    <w:rsid w:val="006507B3"/>
    <w:pPr>
      <w:numPr>
        <w:numId w:val="32"/>
      </w:numPr>
    </w:pPr>
  </w:style>
  <w:style w:type="numbering" w:customStyle="1" w:styleId="CurrentList18">
    <w:name w:val="Current List18"/>
    <w:uiPriority w:val="99"/>
    <w:rsid w:val="00CD25EA"/>
    <w:pPr>
      <w:numPr>
        <w:numId w:val="33"/>
      </w:numPr>
    </w:pPr>
  </w:style>
  <w:style w:type="numbering" w:customStyle="1" w:styleId="CurrentList19">
    <w:name w:val="Current List19"/>
    <w:uiPriority w:val="99"/>
    <w:rsid w:val="00CD25EA"/>
    <w:pPr>
      <w:numPr>
        <w:numId w:val="34"/>
      </w:numPr>
    </w:pPr>
  </w:style>
  <w:style w:type="numbering" w:customStyle="1" w:styleId="CurrentList20">
    <w:name w:val="Current List20"/>
    <w:uiPriority w:val="99"/>
    <w:rsid w:val="00CD25EA"/>
    <w:pPr>
      <w:numPr>
        <w:numId w:val="35"/>
      </w:numPr>
    </w:pPr>
  </w:style>
  <w:style w:type="numbering" w:customStyle="1" w:styleId="CurrentList21">
    <w:name w:val="Current List21"/>
    <w:uiPriority w:val="99"/>
    <w:rsid w:val="00CD25EA"/>
    <w:pPr>
      <w:numPr>
        <w:numId w:val="36"/>
      </w:numPr>
    </w:pPr>
  </w:style>
  <w:style w:type="numbering" w:customStyle="1" w:styleId="CurrentList22">
    <w:name w:val="Current List22"/>
    <w:uiPriority w:val="99"/>
    <w:rsid w:val="00CD25EA"/>
    <w:pPr>
      <w:numPr>
        <w:numId w:val="37"/>
      </w:numPr>
    </w:pPr>
  </w:style>
  <w:style w:type="numbering" w:customStyle="1" w:styleId="CurrentList23">
    <w:name w:val="Current List23"/>
    <w:uiPriority w:val="99"/>
    <w:rsid w:val="00CD25EA"/>
    <w:pPr>
      <w:numPr>
        <w:numId w:val="38"/>
      </w:numPr>
    </w:pPr>
  </w:style>
  <w:style w:type="numbering" w:customStyle="1" w:styleId="CurrentList24">
    <w:name w:val="Current List24"/>
    <w:uiPriority w:val="99"/>
    <w:rsid w:val="00C658E5"/>
    <w:pPr>
      <w:numPr>
        <w:numId w:val="39"/>
      </w:numPr>
    </w:pPr>
  </w:style>
  <w:style w:type="numbering" w:customStyle="1" w:styleId="CurrentList25">
    <w:name w:val="Current List25"/>
    <w:uiPriority w:val="99"/>
    <w:rsid w:val="00C658E5"/>
    <w:pPr>
      <w:numPr>
        <w:numId w:val="40"/>
      </w:numPr>
    </w:pPr>
  </w:style>
  <w:style w:type="numbering" w:customStyle="1" w:styleId="CurrentList26">
    <w:name w:val="Current List26"/>
    <w:uiPriority w:val="99"/>
    <w:rsid w:val="00C658E5"/>
    <w:pPr>
      <w:numPr>
        <w:numId w:val="41"/>
      </w:numPr>
    </w:pPr>
  </w:style>
  <w:style w:type="numbering" w:customStyle="1" w:styleId="CurrentList27">
    <w:name w:val="Current List27"/>
    <w:uiPriority w:val="99"/>
    <w:rsid w:val="00C658E5"/>
    <w:pPr>
      <w:numPr>
        <w:numId w:val="43"/>
      </w:numPr>
    </w:pPr>
  </w:style>
  <w:style w:type="numbering" w:customStyle="1" w:styleId="CurrentList28">
    <w:name w:val="Current List28"/>
    <w:uiPriority w:val="99"/>
    <w:rsid w:val="007C151D"/>
    <w:pPr>
      <w:numPr>
        <w:numId w:val="44"/>
      </w:numPr>
    </w:pPr>
  </w:style>
  <w:style w:type="numbering" w:customStyle="1" w:styleId="CurrentList29">
    <w:name w:val="Current List29"/>
    <w:uiPriority w:val="99"/>
    <w:rsid w:val="007C151D"/>
    <w:pPr>
      <w:numPr>
        <w:numId w:val="45"/>
      </w:numPr>
    </w:pPr>
  </w:style>
  <w:style w:type="numbering" w:customStyle="1" w:styleId="CurrentList30">
    <w:name w:val="Current List30"/>
    <w:uiPriority w:val="99"/>
    <w:rsid w:val="007C151D"/>
    <w:pPr>
      <w:numPr>
        <w:numId w:val="46"/>
      </w:numPr>
    </w:pPr>
  </w:style>
  <w:style w:type="numbering" w:customStyle="1" w:styleId="CurrentList31">
    <w:name w:val="Current List31"/>
    <w:uiPriority w:val="99"/>
    <w:rsid w:val="007C151D"/>
    <w:pPr>
      <w:numPr>
        <w:numId w:val="47"/>
      </w:numPr>
    </w:pPr>
  </w:style>
  <w:style w:type="numbering" w:customStyle="1" w:styleId="CurrentList32">
    <w:name w:val="Current List32"/>
    <w:uiPriority w:val="99"/>
    <w:rsid w:val="007C151D"/>
    <w:pPr>
      <w:numPr>
        <w:numId w:val="48"/>
      </w:numPr>
    </w:pPr>
  </w:style>
  <w:style w:type="numbering" w:customStyle="1" w:styleId="CurrentList33">
    <w:name w:val="Current List33"/>
    <w:uiPriority w:val="99"/>
    <w:rsid w:val="00FB42D2"/>
    <w:pPr>
      <w:numPr>
        <w:numId w:val="49"/>
      </w:numPr>
    </w:pPr>
  </w:style>
  <w:style w:type="paragraph" w:styleId="BlockText">
    <w:name w:val="Block Text"/>
    <w:basedOn w:val="Normal"/>
    <w:uiPriority w:val="99"/>
    <w:semiHidden/>
    <w:unhideWhenUsed/>
    <w:rsid w:val="00FB42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numbering" w:customStyle="1" w:styleId="CurrentList34">
    <w:name w:val="Current List34"/>
    <w:uiPriority w:val="99"/>
    <w:rsid w:val="001E6C44"/>
    <w:pPr>
      <w:numPr>
        <w:numId w:val="50"/>
      </w:numPr>
    </w:pPr>
  </w:style>
  <w:style w:type="numbering" w:customStyle="1" w:styleId="CurrentList35">
    <w:name w:val="Current List35"/>
    <w:uiPriority w:val="99"/>
    <w:rsid w:val="003A6090"/>
    <w:pPr>
      <w:numPr>
        <w:numId w:val="51"/>
      </w:numPr>
    </w:pPr>
  </w:style>
  <w:style w:type="numbering" w:customStyle="1" w:styleId="CurrentList36">
    <w:name w:val="Current List36"/>
    <w:uiPriority w:val="99"/>
    <w:rsid w:val="002C453D"/>
    <w:pPr>
      <w:numPr>
        <w:numId w:val="52"/>
      </w:numPr>
    </w:pPr>
  </w:style>
  <w:style w:type="numbering" w:customStyle="1" w:styleId="CurrentList37">
    <w:name w:val="Current List37"/>
    <w:uiPriority w:val="99"/>
    <w:rsid w:val="002C453D"/>
    <w:pPr>
      <w:numPr>
        <w:numId w:val="53"/>
      </w:numPr>
    </w:pPr>
  </w:style>
  <w:style w:type="numbering" w:customStyle="1" w:styleId="CurrentList38">
    <w:name w:val="Current List38"/>
    <w:uiPriority w:val="99"/>
    <w:rsid w:val="002C453D"/>
    <w:pPr>
      <w:numPr>
        <w:numId w:val="54"/>
      </w:numPr>
    </w:pPr>
  </w:style>
  <w:style w:type="numbering" w:customStyle="1" w:styleId="CurrentList39">
    <w:name w:val="Current List39"/>
    <w:uiPriority w:val="99"/>
    <w:rsid w:val="002402FE"/>
    <w:pPr>
      <w:numPr>
        <w:numId w:val="55"/>
      </w:numPr>
    </w:pPr>
  </w:style>
  <w:style w:type="paragraph" w:customStyle="1" w:styleId="StatementHeading1">
    <w:name w:val="Statement Heading 1"/>
    <w:basedOn w:val="Heading2"/>
    <w:qFormat/>
    <w:rsid w:val="00BA058D"/>
    <w:pPr>
      <w:numPr>
        <w:ilvl w:val="0"/>
        <w:numId w:val="61"/>
      </w:numPr>
    </w:pPr>
  </w:style>
  <w:style w:type="paragraph" w:customStyle="1" w:styleId="StatementHeading2">
    <w:name w:val="Statement Heading 2"/>
    <w:basedOn w:val="Heading3"/>
    <w:qFormat/>
    <w:rsid w:val="00BA058D"/>
    <w:pPr>
      <w:numPr>
        <w:ilvl w:val="0"/>
        <w:numId w:val="64"/>
      </w:numPr>
    </w:pPr>
  </w:style>
  <w:style w:type="numbering" w:customStyle="1" w:styleId="CurrentList40">
    <w:name w:val="Current List40"/>
    <w:uiPriority w:val="99"/>
    <w:rsid w:val="00BA058D"/>
    <w:pPr>
      <w:numPr>
        <w:numId w:val="60"/>
      </w:numPr>
    </w:pPr>
  </w:style>
  <w:style w:type="numbering" w:customStyle="1" w:styleId="CurrentList41">
    <w:name w:val="Current List41"/>
    <w:uiPriority w:val="99"/>
    <w:rsid w:val="00BA058D"/>
    <w:pPr>
      <w:numPr>
        <w:numId w:val="62"/>
      </w:numPr>
    </w:pPr>
  </w:style>
  <w:style w:type="numbering" w:customStyle="1" w:styleId="CurrentList42">
    <w:name w:val="Current List42"/>
    <w:uiPriority w:val="99"/>
    <w:rsid w:val="00BA058D"/>
    <w:pPr>
      <w:numPr>
        <w:numId w:val="63"/>
      </w:numPr>
    </w:pPr>
  </w:style>
  <w:style w:type="numbering" w:customStyle="1" w:styleId="CurrentList43">
    <w:name w:val="Current List43"/>
    <w:uiPriority w:val="99"/>
    <w:rsid w:val="00BA058D"/>
    <w:pPr>
      <w:numPr>
        <w:numId w:val="65"/>
      </w:numPr>
    </w:pPr>
  </w:style>
  <w:style w:type="paragraph" w:styleId="Caption">
    <w:name w:val="caption"/>
    <w:basedOn w:val="Normal"/>
    <w:next w:val="Normal"/>
    <w:uiPriority w:val="35"/>
    <w:unhideWhenUsed/>
    <w:qFormat/>
    <w:rsid w:val="00D4575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867">
      <w:bodyDiv w:val="1"/>
      <w:marLeft w:val="0"/>
      <w:marRight w:val="0"/>
      <w:marTop w:val="0"/>
      <w:marBottom w:val="0"/>
      <w:divBdr>
        <w:top w:val="none" w:sz="0" w:space="0" w:color="auto"/>
        <w:left w:val="none" w:sz="0" w:space="0" w:color="auto"/>
        <w:bottom w:val="none" w:sz="0" w:space="0" w:color="auto"/>
        <w:right w:val="none" w:sz="0" w:space="0" w:color="auto"/>
      </w:divBdr>
      <w:divsChild>
        <w:div w:id="313264035">
          <w:marLeft w:val="0"/>
          <w:marRight w:val="0"/>
          <w:marTop w:val="0"/>
          <w:marBottom w:val="0"/>
          <w:divBdr>
            <w:top w:val="none" w:sz="0" w:space="0" w:color="auto"/>
            <w:left w:val="none" w:sz="0" w:space="0" w:color="auto"/>
            <w:bottom w:val="none" w:sz="0" w:space="0" w:color="auto"/>
            <w:right w:val="none" w:sz="0" w:space="0" w:color="auto"/>
          </w:divBdr>
        </w:div>
      </w:divsChild>
    </w:div>
    <w:div w:id="39745023">
      <w:bodyDiv w:val="1"/>
      <w:marLeft w:val="0"/>
      <w:marRight w:val="0"/>
      <w:marTop w:val="0"/>
      <w:marBottom w:val="0"/>
      <w:divBdr>
        <w:top w:val="none" w:sz="0" w:space="0" w:color="auto"/>
        <w:left w:val="none" w:sz="0" w:space="0" w:color="auto"/>
        <w:bottom w:val="none" w:sz="0" w:space="0" w:color="auto"/>
        <w:right w:val="none" w:sz="0" w:space="0" w:color="auto"/>
      </w:divBdr>
      <w:divsChild>
        <w:div w:id="1455320472">
          <w:marLeft w:val="0"/>
          <w:marRight w:val="0"/>
          <w:marTop w:val="0"/>
          <w:marBottom w:val="0"/>
          <w:divBdr>
            <w:top w:val="none" w:sz="0" w:space="0" w:color="auto"/>
            <w:left w:val="none" w:sz="0" w:space="0" w:color="auto"/>
            <w:bottom w:val="none" w:sz="0" w:space="0" w:color="auto"/>
            <w:right w:val="none" w:sz="0" w:space="0" w:color="auto"/>
          </w:divBdr>
        </w:div>
      </w:divsChild>
    </w:div>
    <w:div w:id="42484139">
      <w:bodyDiv w:val="1"/>
      <w:marLeft w:val="0"/>
      <w:marRight w:val="0"/>
      <w:marTop w:val="0"/>
      <w:marBottom w:val="0"/>
      <w:divBdr>
        <w:top w:val="none" w:sz="0" w:space="0" w:color="auto"/>
        <w:left w:val="none" w:sz="0" w:space="0" w:color="auto"/>
        <w:bottom w:val="none" w:sz="0" w:space="0" w:color="auto"/>
        <w:right w:val="none" w:sz="0" w:space="0" w:color="auto"/>
      </w:divBdr>
    </w:div>
    <w:div w:id="174809687">
      <w:bodyDiv w:val="1"/>
      <w:marLeft w:val="0"/>
      <w:marRight w:val="0"/>
      <w:marTop w:val="0"/>
      <w:marBottom w:val="0"/>
      <w:divBdr>
        <w:top w:val="none" w:sz="0" w:space="0" w:color="auto"/>
        <w:left w:val="none" w:sz="0" w:space="0" w:color="auto"/>
        <w:bottom w:val="none" w:sz="0" w:space="0" w:color="auto"/>
        <w:right w:val="none" w:sz="0" w:space="0" w:color="auto"/>
      </w:divBdr>
      <w:divsChild>
        <w:div w:id="1655840697">
          <w:marLeft w:val="0"/>
          <w:marRight w:val="0"/>
          <w:marTop w:val="0"/>
          <w:marBottom w:val="0"/>
          <w:divBdr>
            <w:top w:val="none" w:sz="0" w:space="0" w:color="auto"/>
            <w:left w:val="none" w:sz="0" w:space="0" w:color="auto"/>
            <w:bottom w:val="none" w:sz="0" w:space="0" w:color="auto"/>
            <w:right w:val="none" w:sz="0" w:space="0" w:color="auto"/>
          </w:divBdr>
        </w:div>
      </w:divsChild>
    </w:div>
    <w:div w:id="196746187">
      <w:bodyDiv w:val="1"/>
      <w:marLeft w:val="0"/>
      <w:marRight w:val="0"/>
      <w:marTop w:val="0"/>
      <w:marBottom w:val="0"/>
      <w:divBdr>
        <w:top w:val="none" w:sz="0" w:space="0" w:color="auto"/>
        <w:left w:val="none" w:sz="0" w:space="0" w:color="auto"/>
        <w:bottom w:val="none" w:sz="0" w:space="0" w:color="auto"/>
        <w:right w:val="none" w:sz="0" w:space="0" w:color="auto"/>
      </w:divBdr>
    </w:div>
    <w:div w:id="200434679">
      <w:bodyDiv w:val="1"/>
      <w:marLeft w:val="0"/>
      <w:marRight w:val="0"/>
      <w:marTop w:val="0"/>
      <w:marBottom w:val="0"/>
      <w:divBdr>
        <w:top w:val="none" w:sz="0" w:space="0" w:color="auto"/>
        <w:left w:val="none" w:sz="0" w:space="0" w:color="auto"/>
        <w:bottom w:val="none" w:sz="0" w:space="0" w:color="auto"/>
        <w:right w:val="none" w:sz="0" w:space="0" w:color="auto"/>
      </w:divBdr>
    </w:div>
    <w:div w:id="292489862">
      <w:bodyDiv w:val="1"/>
      <w:marLeft w:val="0"/>
      <w:marRight w:val="0"/>
      <w:marTop w:val="0"/>
      <w:marBottom w:val="0"/>
      <w:divBdr>
        <w:top w:val="none" w:sz="0" w:space="0" w:color="auto"/>
        <w:left w:val="none" w:sz="0" w:space="0" w:color="auto"/>
        <w:bottom w:val="none" w:sz="0" w:space="0" w:color="auto"/>
        <w:right w:val="none" w:sz="0" w:space="0" w:color="auto"/>
      </w:divBdr>
      <w:divsChild>
        <w:div w:id="253129760">
          <w:marLeft w:val="0"/>
          <w:marRight w:val="0"/>
          <w:marTop w:val="0"/>
          <w:marBottom w:val="0"/>
          <w:divBdr>
            <w:top w:val="none" w:sz="0" w:space="0" w:color="auto"/>
            <w:left w:val="none" w:sz="0" w:space="0" w:color="auto"/>
            <w:bottom w:val="none" w:sz="0" w:space="0" w:color="auto"/>
            <w:right w:val="none" w:sz="0" w:space="0" w:color="auto"/>
          </w:divBdr>
        </w:div>
      </w:divsChild>
    </w:div>
    <w:div w:id="463042877">
      <w:bodyDiv w:val="1"/>
      <w:marLeft w:val="0"/>
      <w:marRight w:val="0"/>
      <w:marTop w:val="0"/>
      <w:marBottom w:val="0"/>
      <w:divBdr>
        <w:top w:val="none" w:sz="0" w:space="0" w:color="auto"/>
        <w:left w:val="none" w:sz="0" w:space="0" w:color="auto"/>
        <w:bottom w:val="none" w:sz="0" w:space="0" w:color="auto"/>
        <w:right w:val="none" w:sz="0" w:space="0" w:color="auto"/>
      </w:divBdr>
      <w:divsChild>
        <w:div w:id="526602249">
          <w:marLeft w:val="0"/>
          <w:marRight w:val="0"/>
          <w:marTop w:val="0"/>
          <w:marBottom w:val="0"/>
          <w:divBdr>
            <w:top w:val="none" w:sz="0" w:space="0" w:color="auto"/>
            <w:left w:val="none" w:sz="0" w:space="0" w:color="auto"/>
            <w:bottom w:val="none" w:sz="0" w:space="0" w:color="auto"/>
            <w:right w:val="none" w:sz="0" w:space="0" w:color="auto"/>
          </w:divBdr>
          <w:divsChild>
            <w:div w:id="55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6377">
      <w:bodyDiv w:val="1"/>
      <w:marLeft w:val="0"/>
      <w:marRight w:val="0"/>
      <w:marTop w:val="0"/>
      <w:marBottom w:val="0"/>
      <w:divBdr>
        <w:top w:val="none" w:sz="0" w:space="0" w:color="auto"/>
        <w:left w:val="none" w:sz="0" w:space="0" w:color="auto"/>
        <w:bottom w:val="none" w:sz="0" w:space="0" w:color="auto"/>
        <w:right w:val="none" w:sz="0" w:space="0" w:color="auto"/>
      </w:divBdr>
    </w:div>
    <w:div w:id="549342537">
      <w:bodyDiv w:val="1"/>
      <w:marLeft w:val="0"/>
      <w:marRight w:val="0"/>
      <w:marTop w:val="0"/>
      <w:marBottom w:val="0"/>
      <w:divBdr>
        <w:top w:val="none" w:sz="0" w:space="0" w:color="auto"/>
        <w:left w:val="none" w:sz="0" w:space="0" w:color="auto"/>
        <w:bottom w:val="none" w:sz="0" w:space="0" w:color="auto"/>
        <w:right w:val="none" w:sz="0" w:space="0" w:color="auto"/>
      </w:divBdr>
      <w:divsChild>
        <w:div w:id="962737673">
          <w:marLeft w:val="0"/>
          <w:marRight w:val="0"/>
          <w:marTop w:val="0"/>
          <w:marBottom w:val="0"/>
          <w:divBdr>
            <w:top w:val="none" w:sz="0" w:space="0" w:color="auto"/>
            <w:left w:val="none" w:sz="0" w:space="0" w:color="auto"/>
            <w:bottom w:val="none" w:sz="0" w:space="0" w:color="auto"/>
            <w:right w:val="none" w:sz="0" w:space="0" w:color="auto"/>
          </w:divBdr>
        </w:div>
      </w:divsChild>
    </w:div>
    <w:div w:id="606081170">
      <w:bodyDiv w:val="1"/>
      <w:marLeft w:val="0"/>
      <w:marRight w:val="0"/>
      <w:marTop w:val="0"/>
      <w:marBottom w:val="0"/>
      <w:divBdr>
        <w:top w:val="none" w:sz="0" w:space="0" w:color="auto"/>
        <w:left w:val="none" w:sz="0" w:space="0" w:color="auto"/>
        <w:bottom w:val="none" w:sz="0" w:space="0" w:color="auto"/>
        <w:right w:val="none" w:sz="0" w:space="0" w:color="auto"/>
      </w:divBdr>
      <w:divsChild>
        <w:div w:id="520322635">
          <w:marLeft w:val="0"/>
          <w:marRight w:val="0"/>
          <w:marTop w:val="0"/>
          <w:marBottom w:val="0"/>
          <w:divBdr>
            <w:top w:val="none" w:sz="0" w:space="0" w:color="auto"/>
            <w:left w:val="none" w:sz="0" w:space="0" w:color="auto"/>
            <w:bottom w:val="none" w:sz="0" w:space="0" w:color="auto"/>
            <w:right w:val="none" w:sz="0" w:space="0" w:color="auto"/>
          </w:divBdr>
        </w:div>
      </w:divsChild>
    </w:div>
    <w:div w:id="624579117">
      <w:bodyDiv w:val="1"/>
      <w:marLeft w:val="0"/>
      <w:marRight w:val="0"/>
      <w:marTop w:val="0"/>
      <w:marBottom w:val="0"/>
      <w:divBdr>
        <w:top w:val="none" w:sz="0" w:space="0" w:color="auto"/>
        <w:left w:val="none" w:sz="0" w:space="0" w:color="auto"/>
        <w:bottom w:val="none" w:sz="0" w:space="0" w:color="auto"/>
        <w:right w:val="none" w:sz="0" w:space="0" w:color="auto"/>
      </w:divBdr>
    </w:div>
    <w:div w:id="663053259">
      <w:bodyDiv w:val="1"/>
      <w:marLeft w:val="0"/>
      <w:marRight w:val="0"/>
      <w:marTop w:val="0"/>
      <w:marBottom w:val="0"/>
      <w:divBdr>
        <w:top w:val="none" w:sz="0" w:space="0" w:color="auto"/>
        <w:left w:val="none" w:sz="0" w:space="0" w:color="auto"/>
        <w:bottom w:val="none" w:sz="0" w:space="0" w:color="auto"/>
        <w:right w:val="none" w:sz="0" w:space="0" w:color="auto"/>
      </w:divBdr>
    </w:div>
    <w:div w:id="708727382">
      <w:bodyDiv w:val="1"/>
      <w:marLeft w:val="0"/>
      <w:marRight w:val="0"/>
      <w:marTop w:val="0"/>
      <w:marBottom w:val="0"/>
      <w:divBdr>
        <w:top w:val="none" w:sz="0" w:space="0" w:color="auto"/>
        <w:left w:val="none" w:sz="0" w:space="0" w:color="auto"/>
        <w:bottom w:val="none" w:sz="0" w:space="0" w:color="auto"/>
        <w:right w:val="none" w:sz="0" w:space="0" w:color="auto"/>
      </w:divBdr>
    </w:div>
    <w:div w:id="970986863">
      <w:bodyDiv w:val="1"/>
      <w:marLeft w:val="0"/>
      <w:marRight w:val="0"/>
      <w:marTop w:val="0"/>
      <w:marBottom w:val="0"/>
      <w:divBdr>
        <w:top w:val="none" w:sz="0" w:space="0" w:color="auto"/>
        <w:left w:val="none" w:sz="0" w:space="0" w:color="auto"/>
        <w:bottom w:val="none" w:sz="0" w:space="0" w:color="auto"/>
        <w:right w:val="none" w:sz="0" w:space="0" w:color="auto"/>
      </w:divBdr>
      <w:divsChild>
        <w:div w:id="1131359373">
          <w:marLeft w:val="0"/>
          <w:marRight w:val="0"/>
          <w:marTop w:val="0"/>
          <w:marBottom w:val="0"/>
          <w:divBdr>
            <w:top w:val="none" w:sz="0" w:space="0" w:color="auto"/>
            <w:left w:val="none" w:sz="0" w:space="0" w:color="auto"/>
            <w:bottom w:val="none" w:sz="0" w:space="0" w:color="auto"/>
            <w:right w:val="none" w:sz="0" w:space="0" w:color="auto"/>
          </w:divBdr>
        </w:div>
      </w:divsChild>
    </w:div>
    <w:div w:id="987437869">
      <w:bodyDiv w:val="1"/>
      <w:marLeft w:val="0"/>
      <w:marRight w:val="0"/>
      <w:marTop w:val="0"/>
      <w:marBottom w:val="0"/>
      <w:divBdr>
        <w:top w:val="none" w:sz="0" w:space="0" w:color="auto"/>
        <w:left w:val="none" w:sz="0" w:space="0" w:color="auto"/>
        <w:bottom w:val="none" w:sz="0" w:space="0" w:color="auto"/>
        <w:right w:val="none" w:sz="0" w:space="0" w:color="auto"/>
      </w:divBdr>
    </w:div>
    <w:div w:id="1043165875">
      <w:bodyDiv w:val="1"/>
      <w:marLeft w:val="0"/>
      <w:marRight w:val="0"/>
      <w:marTop w:val="0"/>
      <w:marBottom w:val="0"/>
      <w:divBdr>
        <w:top w:val="none" w:sz="0" w:space="0" w:color="auto"/>
        <w:left w:val="none" w:sz="0" w:space="0" w:color="auto"/>
        <w:bottom w:val="none" w:sz="0" w:space="0" w:color="auto"/>
        <w:right w:val="none" w:sz="0" w:space="0" w:color="auto"/>
      </w:divBdr>
      <w:divsChild>
        <w:div w:id="1925994260">
          <w:marLeft w:val="0"/>
          <w:marRight w:val="0"/>
          <w:marTop w:val="0"/>
          <w:marBottom w:val="0"/>
          <w:divBdr>
            <w:top w:val="none" w:sz="0" w:space="0" w:color="auto"/>
            <w:left w:val="none" w:sz="0" w:space="0" w:color="auto"/>
            <w:bottom w:val="none" w:sz="0" w:space="0" w:color="auto"/>
            <w:right w:val="none" w:sz="0" w:space="0" w:color="auto"/>
          </w:divBdr>
        </w:div>
      </w:divsChild>
    </w:div>
    <w:div w:id="1144277821">
      <w:bodyDiv w:val="1"/>
      <w:marLeft w:val="0"/>
      <w:marRight w:val="0"/>
      <w:marTop w:val="0"/>
      <w:marBottom w:val="0"/>
      <w:divBdr>
        <w:top w:val="none" w:sz="0" w:space="0" w:color="auto"/>
        <w:left w:val="none" w:sz="0" w:space="0" w:color="auto"/>
        <w:bottom w:val="none" w:sz="0" w:space="0" w:color="auto"/>
        <w:right w:val="none" w:sz="0" w:space="0" w:color="auto"/>
      </w:divBdr>
    </w:div>
    <w:div w:id="1174146471">
      <w:bodyDiv w:val="1"/>
      <w:marLeft w:val="0"/>
      <w:marRight w:val="0"/>
      <w:marTop w:val="0"/>
      <w:marBottom w:val="0"/>
      <w:divBdr>
        <w:top w:val="none" w:sz="0" w:space="0" w:color="auto"/>
        <w:left w:val="none" w:sz="0" w:space="0" w:color="auto"/>
        <w:bottom w:val="none" w:sz="0" w:space="0" w:color="auto"/>
        <w:right w:val="none" w:sz="0" w:space="0" w:color="auto"/>
      </w:divBdr>
    </w:div>
    <w:div w:id="1227571048">
      <w:bodyDiv w:val="1"/>
      <w:marLeft w:val="0"/>
      <w:marRight w:val="0"/>
      <w:marTop w:val="0"/>
      <w:marBottom w:val="0"/>
      <w:divBdr>
        <w:top w:val="none" w:sz="0" w:space="0" w:color="auto"/>
        <w:left w:val="none" w:sz="0" w:space="0" w:color="auto"/>
        <w:bottom w:val="none" w:sz="0" w:space="0" w:color="auto"/>
        <w:right w:val="none" w:sz="0" w:space="0" w:color="auto"/>
      </w:divBdr>
    </w:div>
    <w:div w:id="1370642727">
      <w:bodyDiv w:val="1"/>
      <w:marLeft w:val="0"/>
      <w:marRight w:val="0"/>
      <w:marTop w:val="0"/>
      <w:marBottom w:val="0"/>
      <w:divBdr>
        <w:top w:val="none" w:sz="0" w:space="0" w:color="auto"/>
        <w:left w:val="none" w:sz="0" w:space="0" w:color="auto"/>
        <w:bottom w:val="none" w:sz="0" w:space="0" w:color="auto"/>
        <w:right w:val="none" w:sz="0" w:space="0" w:color="auto"/>
      </w:divBdr>
      <w:divsChild>
        <w:div w:id="792402868">
          <w:marLeft w:val="0"/>
          <w:marRight w:val="0"/>
          <w:marTop w:val="0"/>
          <w:marBottom w:val="0"/>
          <w:divBdr>
            <w:top w:val="none" w:sz="0" w:space="0" w:color="auto"/>
            <w:left w:val="none" w:sz="0" w:space="0" w:color="auto"/>
            <w:bottom w:val="none" w:sz="0" w:space="0" w:color="auto"/>
            <w:right w:val="none" w:sz="0" w:space="0" w:color="auto"/>
          </w:divBdr>
        </w:div>
      </w:divsChild>
    </w:div>
    <w:div w:id="1376926658">
      <w:marLeft w:val="0"/>
      <w:marRight w:val="0"/>
      <w:marTop w:val="0"/>
      <w:marBottom w:val="0"/>
      <w:divBdr>
        <w:top w:val="none" w:sz="0" w:space="0" w:color="auto"/>
        <w:left w:val="none" w:sz="0" w:space="0" w:color="auto"/>
        <w:bottom w:val="none" w:sz="0" w:space="0" w:color="auto"/>
        <w:right w:val="none" w:sz="0" w:space="0" w:color="auto"/>
      </w:divBdr>
    </w:div>
    <w:div w:id="1376926659">
      <w:marLeft w:val="0"/>
      <w:marRight w:val="0"/>
      <w:marTop w:val="0"/>
      <w:marBottom w:val="0"/>
      <w:divBdr>
        <w:top w:val="none" w:sz="0" w:space="0" w:color="auto"/>
        <w:left w:val="none" w:sz="0" w:space="0" w:color="auto"/>
        <w:bottom w:val="none" w:sz="0" w:space="0" w:color="auto"/>
        <w:right w:val="none" w:sz="0" w:space="0" w:color="auto"/>
      </w:divBdr>
    </w:div>
    <w:div w:id="1376926660">
      <w:marLeft w:val="0"/>
      <w:marRight w:val="0"/>
      <w:marTop w:val="0"/>
      <w:marBottom w:val="0"/>
      <w:divBdr>
        <w:top w:val="none" w:sz="0" w:space="0" w:color="auto"/>
        <w:left w:val="none" w:sz="0" w:space="0" w:color="auto"/>
        <w:bottom w:val="none" w:sz="0" w:space="0" w:color="auto"/>
        <w:right w:val="none" w:sz="0" w:space="0" w:color="auto"/>
      </w:divBdr>
    </w:div>
    <w:div w:id="1376926661">
      <w:marLeft w:val="0"/>
      <w:marRight w:val="0"/>
      <w:marTop w:val="0"/>
      <w:marBottom w:val="0"/>
      <w:divBdr>
        <w:top w:val="none" w:sz="0" w:space="0" w:color="auto"/>
        <w:left w:val="none" w:sz="0" w:space="0" w:color="auto"/>
        <w:bottom w:val="none" w:sz="0" w:space="0" w:color="auto"/>
        <w:right w:val="none" w:sz="0" w:space="0" w:color="auto"/>
      </w:divBdr>
    </w:div>
    <w:div w:id="1376926662">
      <w:marLeft w:val="0"/>
      <w:marRight w:val="0"/>
      <w:marTop w:val="0"/>
      <w:marBottom w:val="0"/>
      <w:divBdr>
        <w:top w:val="none" w:sz="0" w:space="0" w:color="auto"/>
        <w:left w:val="none" w:sz="0" w:space="0" w:color="auto"/>
        <w:bottom w:val="none" w:sz="0" w:space="0" w:color="auto"/>
        <w:right w:val="none" w:sz="0" w:space="0" w:color="auto"/>
      </w:divBdr>
    </w:div>
    <w:div w:id="1376926663">
      <w:marLeft w:val="0"/>
      <w:marRight w:val="0"/>
      <w:marTop w:val="0"/>
      <w:marBottom w:val="0"/>
      <w:divBdr>
        <w:top w:val="none" w:sz="0" w:space="0" w:color="auto"/>
        <w:left w:val="none" w:sz="0" w:space="0" w:color="auto"/>
        <w:bottom w:val="none" w:sz="0" w:space="0" w:color="auto"/>
        <w:right w:val="none" w:sz="0" w:space="0" w:color="auto"/>
      </w:divBdr>
    </w:div>
    <w:div w:id="1376926664">
      <w:marLeft w:val="0"/>
      <w:marRight w:val="0"/>
      <w:marTop w:val="0"/>
      <w:marBottom w:val="0"/>
      <w:divBdr>
        <w:top w:val="none" w:sz="0" w:space="0" w:color="auto"/>
        <w:left w:val="none" w:sz="0" w:space="0" w:color="auto"/>
        <w:bottom w:val="none" w:sz="0" w:space="0" w:color="auto"/>
        <w:right w:val="none" w:sz="0" w:space="0" w:color="auto"/>
      </w:divBdr>
    </w:div>
    <w:div w:id="1411390163">
      <w:bodyDiv w:val="1"/>
      <w:marLeft w:val="0"/>
      <w:marRight w:val="0"/>
      <w:marTop w:val="0"/>
      <w:marBottom w:val="0"/>
      <w:divBdr>
        <w:top w:val="none" w:sz="0" w:space="0" w:color="auto"/>
        <w:left w:val="none" w:sz="0" w:space="0" w:color="auto"/>
        <w:bottom w:val="none" w:sz="0" w:space="0" w:color="auto"/>
        <w:right w:val="none" w:sz="0" w:space="0" w:color="auto"/>
      </w:divBdr>
    </w:div>
    <w:div w:id="1484010704">
      <w:bodyDiv w:val="1"/>
      <w:marLeft w:val="0"/>
      <w:marRight w:val="0"/>
      <w:marTop w:val="0"/>
      <w:marBottom w:val="0"/>
      <w:divBdr>
        <w:top w:val="none" w:sz="0" w:space="0" w:color="auto"/>
        <w:left w:val="none" w:sz="0" w:space="0" w:color="auto"/>
        <w:bottom w:val="none" w:sz="0" w:space="0" w:color="auto"/>
        <w:right w:val="none" w:sz="0" w:space="0" w:color="auto"/>
      </w:divBdr>
      <w:divsChild>
        <w:div w:id="906957444">
          <w:marLeft w:val="0"/>
          <w:marRight w:val="0"/>
          <w:marTop w:val="0"/>
          <w:marBottom w:val="0"/>
          <w:divBdr>
            <w:top w:val="none" w:sz="0" w:space="0" w:color="auto"/>
            <w:left w:val="none" w:sz="0" w:space="0" w:color="auto"/>
            <w:bottom w:val="none" w:sz="0" w:space="0" w:color="auto"/>
            <w:right w:val="none" w:sz="0" w:space="0" w:color="auto"/>
          </w:divBdr>
        </w:div>
      </w:divsChild>
    </w:div>
    <w:div w:id="1657143612">
      <w:bodyDiv w:val="1"/>
      <w:marLeft w:val="0"/>
      <w:marRight w:val="0"/>
      <w:marTop w:val="0"/>
      <w:marBottom w:val="0"/>
      <w:divBdr>
        <w:top w:val="none" w:sz="0" w:space="0" w:color="auto"/>
        <w:left w:val="none" w:sz="0" w:space="0" w:color="auto"/>
        <w:bottom w:val="none" w:sz="0" w:space="0" w:color="auto"/>
        <w:right w:val="none" w:sz="0" w:space="0" w:color="auto"/>
      </w:divBdr>
    </w:div>
    <w:div w:id="1686128993">
      <w:bodyDiv w:val="1"/>
      <w:marLeft w:val="0"/>
      <w:marRight w:val="0"/>
      <w:marTop w:val="0"/>
      <w:marBottom w:val="0"/>
      <w:divBdr>
        <w:top w:val="none" w:sz="0" w:space="0" w:color="auto"/>
        <w:left w:val="none" w:sz="0" w:space="0" w:color="auto"/>
        <w:bottom w:val="none" w:sz="0" w:space="0" w:color="auto"/>
        <w:right w:val="none" w:sz="0" w:space="0" w:color="auto"/>
      </w:divBdr>
      <w:divsChild>
        <w:div w:id="1322470481">
          <w:marLeft w:val="0"/>
          <w:marRight w:val="0"/>
          <w:marTop w:val="0"/>
          <w:marBottom w:val="0"/>
          <w:divBdr>
            <w:top w:val="none" w:sz="0" w:space="0" w:color="auto"/>
            <w:left w:val="none" w:sz="0" w:space="0" w:color="auto"/>
            <w:bottom w:val="none" w:sz="0" w:space="0" w:color="auto"/>
            <w:right w:val="none" w:sz="0" w:space="0" w:color="auto"/>
          </w:divBdr>
        </w:div>
      </w:divsChild>
    </w:div>
    <w:div w:id="1735154400">
      <w:bodyDiv w:val="1"/>
      <w:marLeft w:val="0"/>
      <w:marRight w:val="0"/>
      <w:marTop w:val="0"/>
      <w:marBottom w:val="0"/>
      <w:divBdr>
        <w:top w:val="none" w:sz="0" w:space="0" w:color="auto"/>
        <w:left w:val="none" w:sz="0" w:space="0" w:color="auto"/>
        <w:bottom w:val="none" w:sz="0" w:space="0" w:color="auto"/>
        <w:right w:val="none" w:sz="0" w:space="0" w:color="auto"/>
      </w:divBdr>
    </w:div>
    <w:div w:id="1863859953">
      <w:bodyDiv w:val="1"/>
      <w:marLeft w:val="0"/>
      <w:marRight w:val="0"/>
      <w:marTop w:val="0"/>
      <w:marBottom w:val="0"/>
      <w:divBdr>
        <w:top w:val="none" w:sz="0" w:space="0" w:color="auto"/>
        <w:left w:val="none" w:sz="0" w:space="0" w:color="auto"/>
        <w:bottom w:val="none" w:sz="0" w:space="0" w:color="auto"/>
        <w:right w:val="none" w:sz="0" w:space="0" w:color="auto"/>
      </w:divBdr>
    </w:div>
    <w:div w:id="1914463576">
      <w:bodyDiv w:val="1"/>
      <w:marLeft w:val="0"/>
      <w:marRight w:val="0"/>
      <w:marTop w:val="0"/>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53890138">
              <w:marLeft w:val="0"/>
              <w:marRight w:val="0"/>
              <w:marTop w:val="0"/>
              <w:marBottom w:val="0"/>
              <w:divBdr>
                <w:top w:val="none" w:sz="0" w:space="0" w:color="auto"/>
                <w:left w:val="none" w:sz="0" w:space="0" w:color="auto"/>
                <w:bottom w:val="none" w:sz="0" w:space="0" w:color="auto"/>
                <w:right w:val="none" w:sz="0" w:space="0" w:color="auto"/>
              </w:divBdr>
              <w:divsChild>
                <w:div w:id="202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9214">
      <w:bodyDiv w:val="1"/>
      <w:marLeft w:val="0"/>
      <w:marRight w:val="0"/>
      <w:marTop w:val="0"/>
      <w:marBottom w:val="0"/>
      <w:divBdr>
        <w:top w:val="none" w:sz="0" w:space="0" w:color="auto"/>
        <w:left w:val="none" w:sz="0" w:space="0" w:color="auto"/>
        <w:bottom w:val="none" w:sz="0" w:space="0" w:color="auto"/>
        <w:right w:val="none" w:sz="0" w:space="0" w:color="auto"/>
      </w:divBdr>
    </w:div>
    <w:div w:id="2022193608">
      <w:bodyDiv w:val="1"/>
      <w:marLeft w:val="0"/>
      <w:marRight w:val="0"/>
      <w:marTop w:val="0"/>
      <w:marBottom w:val="0"/>
      <w:divBdr>
        <w:top w:val="none" w:sz="0" w:space="0" w:color="auto"/>
        <w:left w:val="none" w:sz="0" w:space="0" w:color="auto"/>
        <w:bottom w:val="none" w:sz="0" w:space="0" w:color="auto"/>
        <w:right w:val="none" w:sz="0" w:space="0" w:color="auto"/>
      </w:divBdr>
    </w:div>
    <w:div w:id="2071494247">
      <w:bodyDiv w:val="1"/>
      <w:marLeft w:val="0"/>
      <w:marRight w:val="0"/>
      <w:marTop w:val="0"/>
      <w:marBottom w:val="0"/>
      <w:divBdr>
        <w:top w:val="none" w:sz="0" w:space="0" w:color="auto"/>
        <w:left w:val="none" w:sz="0" w:space="0" w:color="auto"/>
        <w:bottom w:val="none" w:sz="0" w:space="0" w:color="auto"/>
        <w:right w:val="none" w:sz="0" w:space="0" w:color="auto"/>
      </w:divBdr>
    </w:div>
    <w:div w:id="21399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FC9F-C6C1-E840-84FE-C52274B9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186</Pages>
  <Words>35670</Words>
  <Characters>203321</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238514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Ian Engdahl</dc:creator>
  <cp:keywords/>
  <dc:description/>
  <cp:lastModifiedBy>Microsoft Office User</cp:lastModifiedBy>
  <cp:revision>7</cp:revision>
  <cp:lastPrinted>2022-07-27T14:04:00Z</cp:lastPrinted>
  <dcterms:created xsi:type="dcterms:W3CDTF">2022-07-27T09:35:00Z</dcterms:created>
  <dcterms:modified xsi:type="dcterms:W3CDTF">2022-07-28T01:39:00Z</dcterms:modified>
</cp:coreProperties>
</file>